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42" w:rsidRDefault="00704E42" w:rsidP="00704E42">
      <w:pPr>
        <w:pStyle w:val="Heading2"/>
      </w:pPr>
      <w:bookmarkStart w:id="0" w:name="_GoBack"/>
      <w:bookmarkEnd w:id="0"/>
      <w:r>
        <w:t>Criteria, attributes and supporting notes</w:t>
      </w:r>
    </w:p>
    <w:p w:rsidR="00704E42" w:rsidRDefault="00704E42" w:rsidP="00704E42"/>
    <w:p w:rsidR="00704E42" w:rsidRPr="00625516" w:rsidRDefault="00704E42" w:rsidP="00704E42">
      <w:pPr>
        <w:rPr>
          <w:rFonts w:ascii="Helvetica Neue" w:hAnsi="Helvetica Neue"/>
          <w:color w:val="003D7D"/>
          <w:sz w:val="20"/>
        </w:rPr>
      </w:pPr>
      <w:r w:rsidRPr="00625516">
        <w:rPr>
          <w:rFonts w:ascii="Helvetica Neue" w:hAnsi="Helvetica Neue"/>
          <w:color w:val="003D7D"/>
          <w:sz w:val="20"/>
        </w:rPr>
        <w:t>The Criteria and their Attributes are the requirements for accreditation – the notes aim to give you help in identifying how you could satisfy those criteria and attributes – they are not definitive, but aim to support your curricular development.</w:t>
      </w:r>
    </w:p>
    <w:p w:rsidR="00704E42" w:rsidRDefault="00704E42" w:rsidP="00704E42">
      <w:pPr>
        <w:spacing w:after="0" w:line="240" w:lineRule="auto"/>
        <w:rPr>
          <w:rFonts w:ascii="Helvetica Neue" w:hAnsi="Helvetica Neue" w:cs="Arial"/>
          <w:color w:val="003D7D"/>
          <w:sz w:val="20"/>
        </w:rPr>
      </w:pPr>
    </w:p>
    <w:p w:rsidR="00704E42" w:rsidRDefault="00704E42" w:rsidP="00704E42">
      <w:pPr>
        <w:spacing w:after="0" w:line="240" w:lineRule="auto"/>
        <w:rPr>
          <w:rFonts w:ascii="Helvetica Neue" w:hAnsi="Helvetica Neue" w:cs="Arial"/>
          <w:color w:val="003D7D"/>
          <w:sz w:val="20"/>
        </w:rPr>
      </w:pPr>
    </w:p>
    <w:tbl>
      <w:tblPr>
        <w:tblStyle w:val="TableGrid"/>
        <w:tblW w:w="10297" w:type="dxa"/>
        <w:jc w:val="center"/>
        <w:tblBorders>
          <w:top w:val="single" w:sz="2" w:space="0" w:color="48A942"/>
          <w:left w:val="single" w:sz="2" w:space="0" w:color="48A942"/>
          <w:bottom w:val="single" w:sz="2" w:space="0" w:color="48A942"/>
          <w:right w:val="single" w:sz="2" w:space="0" w:color="48A942"/>
          <w:insideH w:val="single" w:sz="2" w:space="0" w:color="48A942"/>
          <w:insideV w:val="single" w:sz="2" w:space="0" w:color="48A942"/>
        </w:tblBorders>
        <w:tblLook w:val="04A0" w:firstRow="1" w:lastRow="0" w:firstColumn="1" w:lastColumn="0" w:noHBand="0" w:noVBand="1"/>
      </w:tblPr>
      <w:tblGrid>
        <w:gridCol w:w="4701"/>
        <w:gridCol w:w="5596"/>
      </w:tblGrid>
      <w:tr w:rsidR="00704E42" w:rsidRPr="005A4D2F" w:rsidTr="00DB4564">
        <w:trPr>
          <w:jc w:val="center"/>
        </w:trPr>
        <w:tc>
          <w:tcPr>
            <w:tcW w:w="10297" w:type="dxa"/>
            <w:gridSpan w:val="2"/>
          </w:tcPr>
          <w:p w:rsidR="00704E42" w:rsidRDefault="00704E42" w:rsidP="0053034B">
            <w:pPr>
              <w:rPr>
                <w:rFonts w:ascii="Helvetica Neue" w:hAnsi="Helvetica Neue" w:cs="Arial"/>
                <w:b/>
                <w:color w:val="48A942"/>
                <w:sz w:val="20"/>
              </w:rPr>
            </w:pPr>
          </w:p>
          <w:p w:rsidR="00704E42" w:rsidRDefault="00704E42" w:rsidP="0053034B">
            <w:pPr>
              <w:rPr>
                <w:rFonts w:ascii="Helvetica Neue" w:hAnsi="Helvetica Neue" w:cs="Arial"/>
                <w:b/>
                <w:color w:val="48A942"/>
                <w:sz w:val="20"/>
              </w:rPr>
            </w:pPr>
            <w:r w:rsidRPr="005A4D2F">
              <w:rPr>
                <w:rFonts w:ascii="Helvetica Neue" w:hAnsi="Helvetica Neue" w:cs="Arial"/>
                <w:b/>
                <w:color w:val="48A942"/>
                <w:sz w:val="20"/>
              </w:rPr>
              <w:t>1. A graduating level capstone experience which includes analysis, synthesis and critical evaluation, resulting in a defined output</w:t>
            </w:r>
          </w:p>
          <w:p w:rsidR="00704E42" w:rsidRPr="005A4D2F" w:rsidRDefault="00704E42" w:rsidP="0053034B">
            <w:pPr>
              <w:rPr>
                <w:rFonts w:ascii="Helvetica Neue" w:hAnsi="Helvetica Neue" w:cs="Arial"/>
                <w:b/>
                <w:color w:val="003D7D"/>
                <w:sz w:val="20"/>
              </w:rPr>
            </w:pPr>
          </w:p>
        </w:tc>
      </w:tr>
      <w:tr w:rsidR="00704E42" w:rsidRPr="005A4D2F" w:rsidTr="002067A4">
        <w:trPr>
          <w:jc w:val="center"/>
        </w:trPr>
        <w:tc>
          <w:tcPr>
            <w:tcW w:w="4701" w:type="dxa"/>
          </w:tcPr>
          <w:p w:rsidR="00704E42" w:rsidRPr="005A4D2F" w:rsidRDefault="00704E42" w:rsidP="0053034B">
            <w:pPr>
              <w:rPr>
                <w:rFonts w:ascii="Helvetica Neue" w:hAnsi="Helvetica Neue" w:cs="Arial"/>
                <w:b/>
                <w:color w:val="003D7D"/>
                <w:sz w:val="20"/>
              </w:rPr>
            </w:pPr>
          </w:p>
          <w:p w:rsidR="00704E42" w:rsidRPr="005A4D2F" w:rsidRDefault="00704E42" w:rsidP="0053034B">
            <w:pPr>
              <w:rPr>
                <w:rFonts w:ascii="Helvetica Neue" w:hAnsi="Helvetica Neue" w:cs="Arial"/>
                <w:b/>
                <w:color w:val="003D7D"/>
                <w:sz w:val="20"/>
              </w:rPr>
            </w:pPr>
            <w:r w:rsidRPr="005A4D2F">
              <w:rPr>
                <w:rFonts w:ascii="Helvetica Neue" w:hAnsi="Helvetica Neue" w:cs="Arial"/>
                <w:b/>
                <w:color w:val="003D7D"/>
                <w:sz w:val="20"/>
              </w:rPr>
              <w:t>Attributes</w:t>
            </w:r>
          </w:p>
          <w:p w:rsidR="00704E42" w:rsidRPr="005A4D2F" w:rsidRDefault="00704E42" w:rsidP="0053034B">
            <w:pPr>
              <w:rPr>
                <w:rFonts w:ascii="Helvetica Neue" w:hAnsi="Helvetica Neue" w:cs="Arial"/>
                <w:b/>
                <w:color w:val="003D7D"/>
                <w:sz w:val="20"/>
              </w:rPr>
            </w:pPr>
          </w:p>
        </w:tc>
        <w:tc>
          <w:tcPr>
            <w:tcW w:w="5596" w:type="dxa"/>
          </w:tcPr>
          <w:p w:rsidR="00704E42" w:rsidRPr="005A4D2F" w:rsidRDefault="00704E42" w:rsidP="0053034B">
            <w:pPr>
              <w:rPr>
                <w:rFonts w:ascii="Helvetica Neue" w:hAnsi="Helvetica Neue" w:cs="Arial"/>
                <w:b/>
                <w:color w:val="003D7D"/>
                <w:sz w:val="20"/>
              </w:rPr>
            </w:pPr>
          </w:p>
          <w:p w:rsidR="00704E42" w:rsidRPr="005A4D2F" w:rsidRDefault="00704E42" w:rsidP="0053034B">
            <w:pPr>
              <w:rPr>
                <w:rFonts w:ascii="Helvetica Neue" w:hAnsi="Helvetica Neue" w:cs="Arial"/>
                <w:color w:val="003D7D"/>
                <w:sz w:val="20"/>
              </w:rPr>
            </w:pPr>
            <w:r w:rsidRPr="005A4D2F">
              <w:rPr>
                <w:rFonts w:ascii="Helvetica Neue" w:hAnsi="Helvetica Neue" w:cs="Arial"/>
                <w:b/>
                <w:color w:val="003D7D"/>
                <w:sz w:val="20"/>
              </w:rPr>
              <w:t>Notes</w:t>
            </w:r>
          </w:p>
        </w:tc>
      </w:tr>
      <w:tr w:rsidR="00704E42" w:rsidRPr="005A4D2F" w:rsidTr="002067A4">
        <w:trPr>
          <w:jc w:val="center"/>
        </w:trPr>
        <w:tc>
          <w:tcPr>
            <w:tcW w:w="4701" w:type="dxa"/>
          </w:tcPr>
          <w:p w:rsidR="00704E42" w:rsidRPr="005A4D2F" w:rsidRDefault="00704E42" w:rsidP="0053034B">
            <w:pPr>
              <w:rPr>
                <w:rFonts w:ascii="Helvetica Neue" w:hAnsi="Helvetica Neue" w:cs="Arial"/>
                <w:b/>
                <w:color w:val="003D7D"/>
                <w:sz w:val="20"/>
              </w:rPr>
            </w:pPr>
          </w:p>
          <w:p w:rsidR="00704E42" w:rsidRPr="005A4D2F" w:rsidRDefault="00704E42" w:rsidP="0053034B">
            <w:pPr>
              <w:rPr>
                <w:rFonts w:ascii="Helvetica Neue" w:hAnsi="Helvetica Neue" w:cs="Arial"/>
                <w:b/>
                <w:color w:val="003D7D"/>
                <w:sz w:val="20"/>
              </w:rPr>
            </w:pPr>
            <w:proofErr w:type="spellStart"/>
            <w:r w:rsidRPr="005A4D2F">
              <w:rPr>
                <w:rFonts w:ascii="Helvetica Neue" w:hAnsi="Helvetica Neue" w:cs="Arial"/>
                <w:b/>
                <w:color w:val="003D7D"/>
                <w:sz w:val="20"/>
              </w:rPr>
              <w:t>i</w:t>
            </w:r>
            <w:proofErr w:type="spellEnd"/>
            <w:r w:rsidRPr="005A4D2F">
              <w:rPr>
                <w:rFonts w:ascii="Helvetica Neue" w:hAnsi="Helvetica Neue" w:cs="Arial"/>
                <w:b/>
                <w:color w:val="003D7D"/>
                <w:sz w:val="20"/>
              </w:rPr>
              <w:t>. The capstone experience will integrate and develop the skills and knowledge gained in earlier years; bring reflection and focus to the whole of the degree experience; and provide students with the opportunity to demonstrate and apply the understanding and skills that they have developed</w:t>
            </w:r>
          </w:p>
          <w:p w:rsidR="00704E42" w:rsidRPr="005A4D2F" w:rsidRDefault="00704E42" w:rsidP="0053034B">
            <w:pPr>
              <w:rPr>
                <w:rFonts w:ascii="Helvetica Neue" w:hAnsi="Helvetica Neue" w:cs="Arial"/>
                <w:b/>
                <w:color w:val="003D7D"/>
                <w:sz w:val="20"/>
              </w:rPr>
            </w:pPr>
          </w:p>
        </w:tc>
        <w:tc>
          <w:tcPr>
            <w:tcW w:w="5596" w:type="dxa"/>
          </w:tcPr>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The capstone experience tackles a central scientific question or issue in depth, which the students take ownership of. All sections of the capstone experience should relate to the same issue rather than being a collection of unrelated essays. The capstone experience must be the pinnacle of the course, drawing on and extending the students’ learning at previous levels. It should be a first-hand experience of applying science. The Society accepts that research is a collaborative process (e.g. between student and supervisor, and/or between students) but the contribution of individual students must be identifiable and assessable.</w:t>
            </w:r>
          </w:p>
          <w:p w:rsidR="00704E42" w:rsidRPr="005A4D2F" w:rsidRDefault="00704E42" w:rsidP="0053034B">
            <w:pPr>
              <w:rPr>
                <w:rFonts w:ascii="Helvetica Neue" w:hAnsi="Helvetica Neue" w:cs="Arial"/>
                <w:b/>
                <w:color w:val="003D7D"/>
                <w:sz w:val="20"/>
              </w:rPr>
            </w:pPr>
          </w:p>
        </w:tc>
      </w:tr>
      <w:tr w:rsidR="00704E42" w:rsidRPr="005A4D2F" w:rsidTr="002067A4">
        <w:trPr>
          <w:jc w:val="center"/>
        </w:trPr>
        <w:tc>
          <w:tcPr>
            <w:tcW w:w="4701" w:type="dxa"/>
          </w:tcPr>
          <w:p w:rsidR="00704E42" w:rsidRPr="005A4D2F" w:rsidRDefault="00704E42" w:rsidP="0053034B">
            <w:pPr>
              <w:rPr>
                <w:rFonts w:ascii="Helvetica Neue" w:hAnsi="Helvetica Neue" w:cs="Arial"/>
                <w:b/>
                <w:color w:val="003D7D"/>
                <w:sz w:val="20"/>
              </w:rPr>
            </w:pPr>
          </w:p>
          <w:p w:rsidR="00704E42" w:rsidRPr="005A4D2F" w:rsidRDefault="00704E42" w:rsidP="0053034B">
            <w:pPr>
              <w:rPr>
                <w:rFonts w:ascii="Helvetica Neue" w:hAnsi="Helvetica Neue" w:cs="Arial"/>
                <w:b/>
                <w:color w:val="003D7D"/>
                <w:sz w:val="20"/>
              </w:rPr>
            </w:pPr>
            <w:r w:rsidRPr="005A4D2F">
              <w:rPr>
                <w:rFonts w:ascii="Helvetica Neue" w:hAnsi="Helvetica Neue" w:cs="Arial"/>
                <w:b/>
                <w:color w:val="003D7D"/>
                <w:sz w:val="20"/>
              </w:rPr>
              <w:t>ii. The capstone experience will be:</w:t>
            </w:r>
          </w:p>
          <w:p w:rsidR="00704E42" w:rsidRPr="005A4D2F" w:rsidRDefault="00704E42" w:rsidP="0053034B">
            <w:pPr>
              <w:rPr>
                <w:rFonts w:ascii="Helvetica Neue" w:hAnsi="Helvetica Neue" w:cs="Arial"/>
                <w:b/>
                <w:color w:val="003D7D"/>
                <w:sz w:val="20"/>
              </w:rPr>
            </w:pPr>
          </w:p>
        </w:tc>
        <w:tc>
          <w:tcPr>
            <w:tcW w:w="5596" w:type="dxa"/>
          </w:tcPr>
          <w:p w:rsidR="00704E42" w:rsidRPr="005A4D2F" w:rsidRDefault="00704E42" w:rsidP="0053034B">
            <w:pPr>
              <w:rPr>
                <w:rFonts w:ascii="Helvetica Neue" w:hAnsi="Helvetica Neue" w:cs="Arial"/>
                <w:i/>
                <w:color w:val="003D7D"/>
                <w:sz w:val="20"/>
              </w:rPr>
            </w:pPr>
          </w:p>
          <w:p w:rsidR="00704E42" w:rsidRPr="005A4D2F" w:rsidRDefault="00704E42" w:rsidP="0053034B">
            <w:pPr>
              <w:rPr>
                <w:rFonts w:ascii="Helvetica Neue" w:hAnsi="Helvetica Neue" w:cs="Arial"/>
                <w:i/>
                <w:color w:val="003D7D"/>
                <w:sz w:val="20"/>
              </w:rPr>
            </w:pPr>
            <w:r w:rsidRPr="005A4D2F">
              <w:rPr>
                <w:rFonts w:ascii="Helvetica Neue" w:hAnsi="Helvetica Neue" w:cs="Arial"/>
                <w:i/>
                <w:color w:val="003D7D"/>
                <w:sz w:val="20"/>
              </w:rPr>
              <w:t xml:space="preserve">Further help can be found in </w:t>
            </w:r>
            <w:hyperlink w:anchor="Annex_1" w:history="1">
              <w:r w:rsidRPr="005A4D2F">
                <w:rPr>
                  <w:i/>
                  <w:color w:val="003D7D"/>
                </w:rPr>
                <w:t>Annex 1</w:t>
              </w:r>
            </w:hyperlink>
            <w:r w:rsidRPr="005A4D2F">
              <w:rPr>
                <w:rFonts w:ascii="Helvetica Neue" w:hAnsi="Helvetica Neue" w:cs="Arial"/>
                <w:i/>
                <w:color w:val="003D7D"/>
                <w:sz w:val="20"/>
              </w:rPr>
              <w:t>.</w:t>
            </w:r>
          </w:p>
        </w:tc>
      </w:tr>
      <w:tr w:rsidR="00704E42" w:rsidRPr="005A4D2F" w:rsidTr="002067A4">
        <w:trPr>
          <w:jc w:val="center"/>
        </w:trPr>
        <w:tc>
          <w:tcPr>
            <w:tcW w:w="4701" w:type="dxa"/>
          </w:tcPr>
          <w:p w:rsidR="00704E42" w:rsidRPr="005A4D2F" w:rsidRDefault="00704E42" w:rsidP="0053034B">
            <w:pPr>
              <w:rPr>
                <w:rFonts w:ascii="Helvetica Neue" w:hAnsi="Helvetica Neue" w:cs="Arial"/>
                <w:b/>
                <w:color w:val="003D7D"/>
                <w:sz w:val="20"/>
              </w:rPr>
            </w:pPr>
          </w:p>
          <w:p w:rsidR="00704E42" w:rsidRPr="005A4D2F" w:rsidRDefault="00704E42" w:rsidP="0053034B">
            <w:pPr>
              <w:rPr>
                <w:rFonts w:ascii="Helvetica Neue" w:hAnsi="Helvetica Neue" w:cs="Arial"/>
                <w:b/>
                <w:color w:val="003D7D"/>
                <w:sz w:val="20"/>
              </w:rPr>
            </w:pPr>
            <w:r w:rsidRPr="005A4D2F">
              <w:rPr>
                <w:rFonts w:ascii="Helvetica Neue" w:hAnsi="Helvetica Neue" w:cs="Arial"/>
                <w:b/>
                <w:color w:val="003D7D"/>
                <w:sz w:val="20"/>
              </w:rPr>
              <w:t>a. An extended piece of enquiry-based work, relevant to the degree, with a justified approach that effectively communicates its outcomes</w:t>
            </w:r>
          </w:p>
        </w:tc>
        <w:tc>
          <w:tcPr>
            <w:tcW w:w="5596" w:type="dxa"/>
          </w:tcPr>
          <w:p w:rsidR="00704E42" w:rsidRPr="00F80749" w:rsidRDefault="00704E42" w:rsidP="0053034B">
            <w:pPr>
              <w:rPr>
                <w:rFonts w:ascii="Helvetica Neue" w:hAnsi="Helvetica Neue" w:cs="Arial"/>
                <w:b/>
                <w:color w:val="003D7D"/>
                <w:sz w:val="20"/>
              </w:rPr>
            </w:pPr>
            <w:r w:rsidRPr="005A4D2F">
              <w:rPr>
                <w:rFonts w:ascii="Helvetica Neue" w:hAnsi="Helvetica Neue" w:cs="Arial"/>
                <w:color w:val="003D7D"/>
                <w:sz w:val="20"/>
              </w:rPr>
              <w:t>There are a variety of approaches to research, but central to these is a desire to find out something,</w:t>
            </w:r>
            <w:r>
              <w:rPr>
                <w:rFonts w:ascii="Helvetica Neue" w:hAnsi="Helvetica Neue" w:cs="Arial"/>
                <w:color w:val="003D7D"/>
                <w:sz w:val="20"/>
              </w:rPr>
              <w:t xml:space="preserve"> </w:t>
            </w:r>
            <w:r w:rsidRPr="005A4D2F">
              <w:rPr>
                <w:rFonts w:ascii="Helvetica Neue" w:hAnsi="Helvetica Neue" w:cs="Arial"/>
                <w:color w:val="003D7D"/>
                <w:sz w:val="20"/>
              </w:rPr>
              <w:t xml:space="preserve">and this enquiry may be either hypothesis driven or lead to the formation of a hypothesis. The research can be qualitative, quantitative, laboratory/field or design-based, or utilise other scholarly approaches such as outreach and communications. Many types of experiences can be devised that can fulfil the criterion for a capstone experience </w:t>
            </w:r>
            <w:r w:rsidRPr="005A4D2F">
              <w:rPr>
                <w:rFonts w:ascii="Helvetica Neue" w:hAnsi="Helvetica Neue" w:cs="Arial"/>
                <w:i/>
                <w:color w:val="003D7D"/>
                <w:sz w:val="20"/>
              </w:rPr>
              <w:t>(e.g. laboratory or field-based, pedagogic, computer-based, socio-biological and biogeographical research, science communication and outreach</w:t>
            </w:r>
            <w:r w:rsidRPr="005A4D2F">
              <w:rPr>
                <w:rFonts w:ascii="Helvetica Neue" w:hAnsi="Helvetica Neue" w:cs="Arial"/>
                <w:color w:val="003D7D"/>
                <w:sz w:val="20"/>
              </w:rPr>
              <w:t xml:space="preserve">). There may also be different approaches (see examples in Annex 1), and group approaches. </w:t>
            </w:r>
            <w:r w:rsidRPr="005A4D2F">
              <w:rPr>
                <w:rFonts w:ascii="Helvetica Neue" w:hAnsi="Helvetica Neue" w:cs="Arial"/>
                <w:b/>
                <w:color w:val="003D7D"/>
                <w:sz w:val="20"/>
              </w:rPr>
              <w:t>The important factor in deciding whether these represent a capstone experience is the presence of independently sourced information that is critically analysed</w:t>
            </w:r>
            <w:r>
              <w:rPr>
                <w:rFonts w:ascii="Helvetica Neue" w:hAnsi="Helvetica Neue" w:cs="Arial"/>
                <w:b/>
                <w:color w:val="003D7D"/>
                <w:sz w:val="20"/>
              </w:rPr>
              <w:t>.</w:t>
            </w:r>
          </w:p>
          <w:p w:rsidR="00704E42" w:rsidRPr="005A4D2F" w:rsidRDefault="00704E42" w:rsidP="0053034B">
            <w:pPr>
              <w:rPr>
                <w:rFonts w:ascii="Helvetica Neue" w:hAnsi="Helvetica Neue" w:cs="Arial"/>
                <w:color w:val="003D7D"/>
                <w:sz w:val="20"/>
              </w:rPr>
            </w:pPr>
          </w:p>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 xml:space="preserve">Capstone experiences should be based on systematic and rigorous methods, with a clear explanation of how these methods are applied, to achieve the purpose and goals of the capstone experience. The capstone experience is expected to be an “extensive” piece of work, and the Society interprets this to mean that it should be equivalent to </w:t>
            </w:r>
            <w:r w:rsidRPr="005A4D2F">
              <w:rPr>
                <w:rFonts w:ascii="Helvetica Neue" w:hAnsi="Helvetica Neue" w:cs="Arial"/>
                <w:b/>
                <w:color w:val="003D7D"/>
                <w:sz w:val="20"/>
              </w:rPr>
              <w:t>at least 25% of the credit allocated to a student's final year of full-time study</w:t>
            </w:r>
            <w:r w:rsidRPr="005A4D2F">
              <w:rPr>
                <w:rFonts w:ascii="Helvetica Neue" w:hAnsi="Helvetica Neue" w:cs="Arial"/>
                <w:color w:val="003D7D"/>
                <w:sz w:val="20"/>
              </w:rPr>
              <w:t>. The capstone experience need not be limited to one module, as long as the links between modules are clear.</w:t>
            </w:r>
          </w:p>
          <w:p w:rsidR="00704E42" w:rsidRPr="005A4D2F" w:rsidRDefault="00704E42" w:rsidP="0053034B">
            <w:pPr>
              <w:rPr>
                <w:rFonts w:ascii="Helvetica Neue" w:hAnsi="Helvetica Neue" w:cs="Arial"/>
                <w:color w:val="003D7D"/>
                <w:sz w:val="20"/>
              </w:rPr>
            </w:pPr>
          </w:p>
        </w:tc>
      </w:tr>
      <w:tr w:rsidR="00704E42" w:rsidRPr="005A4D2F" w:rsidTr="002067A4">
        <w:trPr>
          <w:jc w:val="center"/>
        </w:trPr>
        <w:tc>
          <w:tcPr>
            <w:tcW w:w="4701" w:type="dxa"/>
          </w:tcPr>
          <w:p w:rsidR="00704E42" w:rsidRPr="005A4D2F" w:rsidRDefault="00704E42" w:rsidP="0053034B">
            <w:pPr>
              <w:rPr>
                <w:rFonts w:ascii="Helvetica Neue" w:hAnsi="Helvetica Neue" w:cs="Arial"/>
                <w:b/>
                <w:color w:val="003D7D"/>
                <w:sz w:val="20"/>
              </w:rPr>
            </w:pPr>
          </w:p>
          <w:p w:rsidR="00704E42" w:rsidRPr="005A4D2F" w:rsidRDefault="00704E42" w:rsidP="0053034B">
            <w:pPr>
              <w:rPr>
                <w:rFonts w:ascii="Helvetica Neue" w:hAnsi="Helvetica Neue" w:cs="Arial"/>
                <w:color w:val="003D7D"/>
                <w:sz w:val="20"/>
              </w:rPr>
            </w:pPr>
            <w:r w:rsidRPr="005A4D2F">
              <w:rPr>
                <w:rFonts w:ascii="Helvetica Neue" w:hAnsi="Helvetica Neue" w:cs="Arial"/>
                <w:b/>
                <w:color w:val="003D7D"/>
                <w:sz w:val="20"/>
              </w:rPr>
              <w:lastRenderedPageBreak/>
              <w:t xml:space="preserve">b. Underpinned by a range of relevant sources, and will show recognition of health and safety, environmental and ethical considerations </w:t>
            </w:r>
          </w:p>
        </w:tc>
        <w:tc>
          <w:tcPr>
            <w:tcW w:w="5596" w:type="dxa"/>
          </w:tcPr>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lastRenderedPageBreak/>
              <w:t xml:space="preserve">Sources that inform capstone experiences include textbooks, journal articles, surveys, interviews, experiments, original data, secondary data, websites, blogs, tweets, wikis, </w:t>
            </w:r>
            <w:r w:rsidRPr="005A4D2F">
              <w:rPr>
                <w:rFonts w:ascii="Helvetica Neue" w:hAnsi="Helvetica Neue" w:cs="Arial"/>
                <w:color w:val="003D7D"/>
                <w:sz w:val="20"/>
              </w:rPr>
              <w:lastRenderedPageBreak/>
              <w:t>reflecting on ethical issues in preparation for or arising from the experience, practice reports and direct personal experience. What is appropriate depends on the type of capstone experience and the purpose that the source is being used for. It should be recognised that all sources have strengths and limitations, and reflection on the limitations and validity of the sources used is part of the process.</w:t>
            </w:r>
          </w:p>
          <w:p w:rsidR="00704E42" w:rsidRPr="005A4D2F" w:rsidRDefault="00704E42" w:rsidP="0053034B">
            <w:pPr>
              <w:rPr>
                <w:rFonts w:ascii="Helvetica Neue" w:hAnsi="Helvetica Neue" w:cs="Arial"/>
                <w:color w:val="003D7D"/>
                <w:sz w:val="20"/>
              </w:rPr>
            </w:pPr>
          </w:p>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The Society recognises that responsibility for health and safety, risk analysis and ethical approval lies with the institution. However, the student should have been involved in these processes as they apply to their capstone experience (</w:t>
            </w:r>
            <w:r w:rsidRPr="005A4D2F">
              <w:rPr>
                <w:rFonts w:ascii="Helvetica Neue" w:hAnsi="Helvetica Neue" w:cs="Arial"/>
                <w:i/>
                <w:color w:val="003D7D"/>
                <w:sz w:val="20"/>
              </w:rPr>
              <w:t>e.g. by preparing a draft risk assessment or ethics application that can be submitted as assessed coursework or included in the capstone experience report</w:t>
            </w:r>
            <w:r w:rsidRPr="005A4D2F">
              <w:rPr>
                <w:rFonts w:ascii="Helvetica Neue" w:hAnsi="Helvetica Neue" w:cs="Arial"/>
                <w:color w:val="003D7D"/>
                <w:sz w:val="20"/>
              </w:rPr>
              <w:t>).</w:t>
            </w:r>
          </w:p>
          <w:p w:rsidR="00704E42" w:rsidRPr="005A4D2F" w:rsidRDefault="00704E42" w:rsidP="0053034B">
            <w:pPr>
              <w:rPr>
                <w:rFonts w:ascii="Helvetica Neue" w:hAnsi="Helvetica Neue" w:cs="Arial"/>
                <w:color w:val="003D7D"/>
                <w:sz w:val="20"/>
              </w:rPr>
            </w:pPr>
          </w:p>
        </w:tc>
      </w:tr>
      <w:tr w:rsidR="00704E42" w:rsidRPr="0026604C" w:rsidTr="002067A4">
        <w:trPr>
          <w:jc w:val="center"/>
        </w:trPr>
        <w:tc>
          <w:tcPr>
            <w:tcW w:w="4701" w:type="dxa"/>
          </w:tcPr>
          <w:p w:rsidR="00704E42" w:rsidRPr="005A4D2F" w:rsidRDefault="00704E42" w:rsidP="0053034B">
            <w:pPr>
              <w:rPr>
                <w:rFonts w:ascii="Helvetica Neue" w:hAnsi="Helvetica Neue" w:cs="Arial"/>
                <w:b/>
                <w:color w:val="003D7D"/>
                <w:sz w:val="20"/>
              </w:rPr>
            </w:pPr>
          </w:p>
          <w:p w:rsidR="00704E42" w:rsidRPr="005A4D2F" w:rsidRDefault="00704E42" w:rsidP="0053034B">
            <w:pPr>
              <w:rPr>
                <w:rFonts w:ascii="Helvetica Neue" w:hAnsi="Helvetica Neue" w:cs="Arial"/>
                <w:b/>
                <w:color w:val="003D7D"/>
                <w:sz w:val="20"/>
              </w:rPr>
            </w:pPr>
            <w:r w:rsidRPr="005A4D2F">
              <w:rPr>
                <w:rFonts w:ascii="Helvetica Neue" w:hAnsi="Helvetica Neue" w:cs="Arial"/>
                <w:b/>
                <w:color w:val="003D7D"/>
                <w:sz w:val="20"/>
              </w:rPr>
              <w:t xml:space="preserve">c. Contextualised, and show recognition of the provisional nature of knowledge, building to an appropriate conclusion </w:t>
            </w:r>
          </w:p>
          <w:p w:rsidR="00704E42" w:rsidRPr="005A4D2F" w:rsidRDefault="00704E42" w:rsidP="0053034B">
            <w:pPr>
              <w:rPr>
                <w:rFonts w:ascii="Helvetica Neue" w:hAnsi="Helvetica Neue" w:cs="Arial"/>
                <w:b/>
                <w:color w:val="003D7D"/>
                <w:sz w:val="20"/>
              </w:rPr>
            </w:pPr>
          </w:p>
          <w:p w:rsidR="00704E42" w:rsidRPr="005A4D2F" w:rsidRDefault="00704E42" w:rsidP="0053034B">
            <w:pPr>
              <w:rPr>
                <w:rFonts w:ascii="Helvetica Neue" w:hAnsi="Helvetica Neue" w:cs="Arial"/>
                <w:b/>
                <w:color w:val="003D7D"/>
                <w:sz w:val="20"/>
              </w:rPr>
            </w:pPr>
            <w:r w:rsidRPr="005A4D2F">
              <w:rPr>
                <w:rFonts w:ascii="Helvetica Neue" w:hAnsi="Helvetica Neue" w:cs="Arial"/>
                <w:b/>
                <w:color w:val="003D7D"/>
                <w:sz w:val="20"/>
              </w:rPr>
              <w:t>d. Based on the processes of critical thinking, synthesis, reflection and evaluation</w:t>
            </w:r>
          </w:p>
          <w:p w:rsidR="00704E42" w:rsidRPr="005A4D2F" w:rsidRDefault="00704E42" w:rsidP="0053034B">
            <w:pPr>
              <w:rPr>
                <w:rFonts w:ascii="Helvetica Neue" w:hAnsi="Helvetica Neue" w:cs="Arial"/>
                <w:b/>
                <w:color w:val="003D7D"/>
                <w:sz w:val="20"/>
              </w:rPr>
            </w:pPr>
          </w:p>
        </w:tc>
        <w:tc>
          <w:tcPr>
            <w:tcW w:w="5596" w:type="dxa"/>
          </w:tcPr>
          <w:p w:rsidR="00704E42" w:rsidRPr="0026604C" w:rsidRDefault="00704E42" w:rsidP="0053034B">
            <w:pPr>
              <w:rPr>
                <w:rFonts w:ascii="Helvetica Neue" w:hAnsi="Helvetica Neue" w:cs="Arial"/>
                <w:b/>
                <w:color w:val="003D7D"/>
                <w:sz w:val="20"/>
              </w:rPr>
            </w:pPr>
            <w:r w:rsidRPr="005A4D2F">
              <w:rPr>
                <w:rFonts w:ascii="Helvetica Neue" w:hAnsi="Helvetica Neue" w:cs="Arial"/>
                <w:color w:val="003D7D"/>
                <w:sz w:val="20"/>
              </w:rPr>
              <w:t>Students must (1) frame their research within the context of existing knowledge, (2) develop and test ideas, (3) devise, execute and manage objectives, (4) critically analyse data and (5) communicate the results of their study with reference to information sources.</w:t>
            </w:r>
          </w:p>
        </w:tc>
      </w:tr>
    </w:tbl>
    <w:p w:rsidR="00704E42" w:rsidRDefault="00704E42" w:rsidP="00704E42">
      <w:pPr>
        <w:rPr>
          <w:rFonts w:ascii="Helvetica Neue" w:hAnsi="Helvetica Neue" w:cs="Arial"/>
          <w:color w:val="003D7D"/>
          <w:sz w:val="20"/>
        </w:rPr>
      </w:pPr>
    </w:p>
    <w:p w:rsidR="00FC0BA9" w:rsidRDefault="00FC0BA9" w:rsidP="00704E42">
      <w:pPr>
        <w:rPr>
          <w:rFonts w:ascii="Helvetica Neue" w:hAnsi="Helvetica Neue" w:cs="Arial"/>
          <w:color w:val="003D7D"/>
          <w:sz w:val="20"/>
        </w:rPr>
      </w:pPr>
    </w:p>
    <w:tbl>
      <w:tblPr>
        <w:tblStyle w:val="TableGrid"/>
        <w:tblW w:w="10244" w:type="dxa"/>
        <w:jc w:val="center"/>
        <w:tblBorders>
          <w:top w:val="single" w:sz="2" w:space="0" w:color="48A942"/>
          <w:left w:val="single" w:sz="2" w:space="0" w:color="48A942"/>
          <w:bottom w:val="single" w:sz="2" w:space="0" w:color="48A942"/>
          <w:right w:val="single" w:sz="2" w:space="0" w:color="48A942"/>
          <w:insideH w:val="single" w:sz="2" w:space="0" w:color="48A942"/>
          <w:insideV w:val="single" w:sz="2" w:space="0" w:color="48A942"/>
        </w:tblBorders>
        <w:tblLook w:val="04A0" w:firstRow="1" w:lastRow="0" w:firstColumn="1" w:lastColumn="0" w:noHBand="0" w:noVBand="1"/>
      </w:tblPr>
      <w:tblGrid>
        <w:gridCol w:w="4679"/>
        <w:gridCol w:w="5565"/>
      </w:tblGrid>
      <w:tr w:rsidR="00704E42" w:rsidRPr="0026604C" w:rsidTr="00704E42">
        <w:trPr>
          <w:jc w:val="center"/>
        </w:trPr>
        <w:tc>
          <w:tcPr>
            <w:tcW w:w="10244" w:type="dxa"/>
            <w:gridSpan w:val="2"/>
          </w:tcPr>
          <w:p w:rsidR="00704E42" w:rsidRDefault="00704E42" w:rsidP="00704E42">
            <w:pPr>
              <w:rPr>
                <w:rFonts w:ascii="Helvetica Neue" w:hAnsi="Helvetica Neue" w:cs="Arial"/>
                <w:b/>
                <w:color w:val="48A942"/>
                <w:sz w:val="20"/>
              </w:rPr>
            </w:pPr>
            <w:bookmarkStart w:id="1" w:name="Acc_Criterion_2_Guidance"/>
          </w:p>
          <w:p w:rsidR="00704E42" w:rsidRPr="0026604C" w:rsidRDefault="00704E42" w:rsidP="00704E42">
            <w:pPr>
              <w:rPr>
                <w:rFonts w:ascii="Helvetica Neue" w:hAnsi="Helvetica Neue" w:cs="Arial"/>
                <w:b/>
                <w:color w:val="48A942"/>
                <w:sz w:val="20"/>
              </w:rPr>
            </w:pPr>
            <w:r w:rsidRPr="0026604C">
              <w:rPr>
                <w:rFonts w:ascii="Helvetica Neue" w:hAnsi="Helvetica Neue" w:cs="Arial"/>
                <w:b/>
                <w:color w:val="48A942"/>
                <w:sz w:val="20"/>
              </w:rPr>
              <w:t xml:space="preserve">2. Demonstration of the acquisition of technical skills and familiarity with the practical environment </w:t>
            </w:r>
          </w:p>
          <w:bookmarkEnd w:id="1"/>
          <w:p w:rsidR="00704E42" w:rsidRDefault="00704E42" w:rsidP="0053034B">
            <w:pPr>
              <w:rPr>
                <w:rFonts w:ascii="Helvetica Neue" w:hAnsi="Helvetica Neue" w:cs="Arial"/>
                <w:b/>
                <w:color w:val="003D7D"/>
                <w:sz w:val="20"/>
              </w:rPr>
            </w:pPr>
          </w:p>
        </w:tc>
      </w:tr>
      <w:tr w:rsidR="00704E42" w:rsidRPr="0026604C" w:rsidTr="00704E42">
        <w:trPr>
          <w:jc w:val="center"/>
        </w:trPr>
        <w:tc>
          <w:tcPr>
            <w:tcW w:w="4679" w:type="dxa"/>
          </w:tcPr>
          <w:p w:rsidR="00704E42" w:rsidRPr="0026604C" w:rsidRDefault="00704E42" w:rsidP="0053034B">
            <w:pPr>
              <w:rPr>
                <w:rFonts w:ascii="Helvetica Neue" w:hAnsi="Helvetica Neue" w:cs="Arial"/>
                <w:b/>
                <w:color w:val="003D7D"/>
                <w:sz w:val="20"/>
              </w:rPr>
            </w:pPr>
          </w:p>
          <w:p w:rsidR="00704E42" w:rsidRPr="0026604C" w:rsidRDefault="00704E42" w:rsidP="0053034B">
            <w:pPr>
              <w:rPr>
                <w:rFonts w:ascii="Helvetica Neue" w:hAnsi="Helvetica Neue" w:cs="Arial"/>
                <w:b/>
                <w:color w:val="003D7D"/>
                <w:sz w:val="20"/>
              </w:rPr>
            </w:pPr>
            <w:r>
              <w:rPr>
                <w:rFonts w:ascii="Helvetica Neue" w:hAnsi="Helvetica Neue" w:cs="Arial"/>
                <w:b/>
                <w:color w:val="003D7D"/>
                <w:sz w:val="20"/>
              </w:rPr>
              <w:t>Attributes</w:t>
            </w:r>
          </w:p>
          <w:p w:rsidR="00704E42" w:rsidRPr="0026604C" w:rsidRDefault="00704E42" w:rsidP="0053034B">
            <w:pPr>
              <w:rPr>
                <w:rFonts w:ascii="Helvetica Neue" w:hAnsi="Helvetica Neue" w:cs="Arial"/>
                <w:b/>
                <w:color w:val="003D7D"/>
                <w:sz w:val="20"/>
              </w:rPr>
            </w:pPr>
          </w:p>
        </w:tc>
        <w:tc>
          <w:tcPr>
            <w:tcW w:w="5565" w:type="dxa"/>
          </w:tcPr>
          <w:p w:rsidR="00704E42" w:rsidRDefault="00704E42" w:rsidP="0053034B">
            <w:pPr>
              <w:rPr>
                <w:rFonts w:ascii="Helvetica Neue" w:hAnsi="Helvetica Neue" w:cs="Arial"/>
                <w:b/>
                <w:color w:val="003D7D"/>
                <w:sz w:val="20"/>
              </w:rPr>
            </w:pPr>
          </w:p>
          <w:p w:rsidR="00704E42" w:rsidRPr="0026604C" w:rsidRDefault="00704E42" w:rsidP="0053034B">
            <w:pPr>
              <w:rPr>
                <w:rFonts w:ascii="Helvetica Neue" w:hAnsi="Helvetica Neue" w:cs="Arial"/>
                <w:color w:val="003D7D"/>
                <w:sz w:val="20"/>
              </w:rPr>
            </w:pPr>
            <w:r w:rsidRPr="0026604C">
              <w:rPr>
                <w:rFonts w:ascii="Helvetica Neue" w:hAnsi="Helvetica Neue" w:cs="Arial"/>
                <w:b/>
                <w:color w:val="003D7D"/>
                <w:sz w:val="20"/>
              </w:rPr>
              <w:t>Notes</w:t>
            </w:r>
          </w:p>
        </w:tc>
      </w:tr>
      <w:tr w:rsidR="00704E42" w:rsidRPr="005A4D2F" w:rsidTr="00704E42">
        <w:trPr>
          <w:jc w:val="center"/>
        </w:trPr>
        <w:tc>
          <w:tcPr>
            <w:tcW w:w="4679" w:type="dxa"/>
          </w:tcPr>
          <w:p w:rsidR="00704E42" w:rsidRPr="0026604C" w:rsidRDefault="00704E42" w:rsidP="0053034B">
            <w:pPr>
              <w:rPr>
                <w:rFonts w:ascii="Helvetica Neue" w:hAnsi="Helvetica Neue" w:cs="Arial"/>
                <w:b/>
                <w:color w:val="003D7D"/>
                <w:sz w:val="20"/>
              </w:rPr>
            </w:pPr>
          </w:p>
          <w:p w:rsidR="00704E42" w:rsidRPr="005A4D2F" w:rsidRDefault="00704E42" w:rsidP="0053034B">
            <w:pPr>
              <w:rPr>
                <w:rFonts w:ascii="Helvetica Neue" w:hAnsi="Helvetica Neue" w:cs="Arial"/>
                <w:b/>
                <w:color w:val="003D7D"/>
                <w:sz w:val="20"/>
              </w:rPr>
            </w:pPr>
            <w:proofErr w:type="spellStart"/>
            <w:r w:rsidRPr="005A4D2F">
              <w:rPr>
                <w:rFonts w:ascii="Helvetica Neue" w:hAnsi="Helvetica Neue" w:cs="Arial"/>
                <w:b/>
                <w:color w:val="003D7D"/>
                <w:sz w:val="20"/>
              </w:rPr>
              <w:t>i</w:t>
            </w:r>
            <w:proofErr w:type="spellEnd"/>
            <w:r w:rsidRPr="005A4D2F">
              <w:rPr>
                <w:rFonts w:ascii="Helvetica Neue" w:hAnsi="Helvetica Neue" w:cs="Arial"/>
                <w:b/>
                <w:color w:val="003D7D"/>
                <w:sz w:val="20"/>
              </w:rPr>
              <w:t>. Students learn in a hands-on, practical environment, and are trained in the technical skills appropriate to their main subject interest</w:t>
            </w:r>
          </w:p>
          <w:p w:rsidR="00704E42" w:rsidRPr="005A4D2F" w:rsidRDefault="00704E42" w:rsidP="0053034B">
            <w:pPr>
              <w:rPr>
                <w:rFonts w:ascii="Helvetica Neue" w:hAnsi="Helvetica Neue" w:cs="Arial"/>
                <w:b/>
                <w:color w:val="003D7D"/>
                <w:sz w:val="20"/>
              </w:rPr>
            </w:pPr>
          </w:p>
        </w:tc>
        <w:tc>
          <w:tcPr>
            <w:tcW w:w="5565" w:type="dxa"/>
          </w:tcPr>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 xml:space="preserve">The biosciences are a collection of subjects which require significant technical and practical training to demonstrate </w:t>
            </w:r>
            <w:r w:rsidRPr="0026604C">
              <w:rPr>
                <w:rFonts w:ascii="Helvetica Neue" w:hAnsi="Helvetica Neue" w:cs="Arial"/>
                <w:color w:val="003D7D"/>
                <w:sz w:val="20"/>
              </w:rPr>
              <w:t xml:space="preserve">the </w:t>
            </w:r>
            <w:r w:rsidRPr="005A4D2F">
              <w:rPr>
                <w:rFonts w:ascii="Helvetica Neue" w:hAnsi="Helvetica Neue" w:cs="Arial"/>
                <w:color w:val="003D7D"/>
                <w:sz w:val="20"/>
              </w:rPr>
              <w:t>key principles and develop students’ problem solving str</w:t>
            </w:r>
            <w:r>
              <w:rPr>
                <w:rFonts w:ascii="Helvetica Neue" w:hAnsi="Helvetica Neue" w:cs="Arial"/>
                <w:color w:val="003D7D"/>
                <w:sz w:val="20"/>
              </w:rPr>
              <w:t>a</w:t>
            </w:r>
            <w:r w:rsidRPr="005A4D2F">
              <w:rPr>
                <w:rFonts w:ascii="Helvetica Neue" w:hAnsi="Helvetica Neue" w:cs="Arial"/>
                <w:color w:val="003D7D"/>
                <w:sz w:val="20"/>
              </w:rPr>
              <w:t>tegies which use an experimental approach. Different subjects have their own requirements: while recognising this diversity, the RSB seeks to ensure that all students learn in a hands-on, practical environment, and are trained in the technical skills appropriate to their main subject interest. Competency requires repeated learning and assessment of individual students’ skills, whether working in a group or alone.</w:t>
            </w:r>
          </w:p>
          <w:p w:rsidR="00704E42" w:rsidRPr="005A4D2F" w:rsidRDefault="00704E42" w:rsidP="0053034B">
            <w:pPr>
              <w:rPr>
                <w:rFonts w:ascii="Helvetica Neue" w:hAnsi="Helvetica Neue" w:cs="Arial"/>
                <w:color w:val="003D7D"/>
                <w:sz w:val="20"/>
              </w:rPr>
            </w:pPr>
          </w:p>
        </w:tc>
      </w:tr>
      <w:tr w:rsidR="00704E42" w:rsidRPr="005A4D2F" w:rsidTr="00704E42">
        <w:trPr>
          <w:jc w:val="center"/>
        </w:trPr>
        <w:tc>
          <w:tcPr>
            <w:tcW w:w="4679" w:type="dxa"/>
          </w:tcPr>
          <w:p w:rsidR="00704E42" w:rsidRPr="005A4D2F" w:rsidRDefault="00704E42" w:rsidP="0053034B">
            <w:pPr>
              <w:rPr>
                <w:rFonts w:ascii="Helvetica Neue" w:hAnsi="Helvetica Neue" w:cs="Arial"/>
                <w:b/>
                <w:color w:val="003D7D"/>
                <w:sz w:val="20"/>
              </w:rPr>
            </w:pPr>
          </w:p>
          <w:p w:rsidR="00704E42" w:rsidRPr="005A4D2F" w:rsidRDefault="00704E42" w:rsidP="0053034B">
            <w:pPr>
              <w:rPr>
                <w:rFonts w:ascii="Helvetica Neue" w:hAnsi="Helvetica Neue" w:cs="Arial"/>
                <w:b/>
                <w:color w:val="003D7D"/>
                <w:sz w:val="20"/>
              </w:rPr>
            </w:pPr>
            <w:bookmarkStart w:id="2" w:name="Acc_Criterion_2ii_Guidance"/>
            <w:r w:rsidRPr="005A4D2F">
              <w:rPr>
                <w:rFonts w:ascii="Helvetica Neue" w:hAnsi="Helvetica Neue" w:cs="Arial"/>
                <w:b/>
                <w:color w:val="003D7D"/>
                <w:sz w:val="20"/>
              </w:rPr>
              <w:t>ii. Skill acquisition is demonstrably a progressive process</w:t>
            </w:r>
            <w:bookmarkEnd w:id="2"/>
          </w:p>
        </w:tc>
        <w:tc>
          <w:tcPr>
            <w:tcW w:w="5565" w:type="dxa"/>
          </w:tcPr>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 xml:space="preserve">Students are expected to evidence increasing competency and familiarity with the skills they are acquiring over the period of their programme. The Society is specifically seeking evidence for the development of the </w:t>
            </w:r>
            <w:r w:rsidRPr="005A4D2F">
              <w:rPr>
                <w:rFonts w:ascii="Helvetica Neue" w:hAnsi="Helvetica Neue" w:cs="Arial"/>
                <w:b/>
                <w:color w:val="003D7D"/>
                <w:sz w:val="20"/>
              </w:rPr>
              <w:t>appropriate technical skills in relation to the subject</w:t>
            </w:r>
            <w:r w:rsidRPr="005A4D2F">
              <w:rPr>
                <w:rFonts w:ascii="Helvetica Neue" w:hAnsi="Helvetica Neue" w:cs="Arial"/>
                <w:color w:val="003D7D"/>
                <w:sz w:val="20"/>
              </w:rPr>
              <w:t>, whether in the field, the laboratory or the workplace.</w:t>
            </w:r>
          </w:p>
          <w:p w:rsidR="00704E42" w:rsidRPr="005A4D2F" w:rsidRDefault="00704E42" w:rsidP="0053034B">
            <w:pPr>
              <w:rPr>
                <w:rFonts w:ascii="Helvetica Neue" w:hAnsi="Helvetica Neue" w:cs="Arial"/>
                <w:color w:val="003D7D"/>
                <w:sz w:val="20"/>
              </w:rPr>
            </w:pPr>
          </w:p>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A system for recording the development of skills and experience of the practical environment should be present within the programme, to demonstrate the progressive nature of the learning.</w:t>
            </w:r>
          </w:p>
          <w:p w:rsidR="00704E42" w:rsidRPr="005A4D2F" w:rsidRDefault="00704E42" w:rsidP="0053034B">
            <w:pPr>
              <w:rPr>
                <w:rFonts w:ascii="Helvetica Neue" w:hAnsi="Helvetica Neue" w:cs="Arial"/>
                <w:color w:val="003D7D"/>
                <w:sz w:val="20"/>
              </w:rPr>
            </w:pPr>
          </w:p>
        </w:tc>
      </w:tr>
      <w:tr w:rsidR="00704E42" w:rsidRPr="005A4D2F" w:rsidTr="00704E42">
        <w:trPr>
          <w:jc w:val="center"/>
        </w:trPr>
        <w:tc>
          <w:tcPr>
            <w:tcW w:w="4679" w:type="dxa"/>
          </w:tcPr>
          <w:p w:rsidR="00704E42" w:rsidRPr="005A4D2F" w:rsidRDefault="00704E42" w:rsidP="0053034B">
            <w:pPr>
              <w:rPr>
                <w:rFonts w:ascii="Helvetica Neue" w:hAnsi="Helvetica Neue" w:cs="Arial"/>
                <w:b/>
                <w:color w:val="003D7D"/>
                <w:sz w:val="20"/>
              </w:rPr>
            </w:pPr>
          </w:p>
          <w:p w:rsidR="00704E42" w:rsidRPr="005A4D2F" w:rsidRDefault="00704E42" w:rsidP="0053034B">
            <w:pPr>
              <w:rPr>
                <w:rFonts w:ascii="Helvetica Neue" w:hAnsi="Helvetica Neue" w:cs="Arial"/>
                <w:b/>
                <w:color w:val="003D7D"/>
                <w:sz w:val="20"/>
              </w:rPr>
            </w:pPr>
            <w:r w:rsidRPr="005A4D2F">
              <w:rPr>
                <w:rFonts w:ascii="Helvetica Neue" w:hAnsi="Helvetica Neue" w:cs="Arial"/>
                <w:b/>
                <w:color w:val="003D7D"/>
                <w:sz w:val="20"/>
              </w:rPr>
              <w:t>iii. There is a list of the core, assessed, technical skills used in the laboratory, field or other setting which form the foundation for the degree(s)</w:t>
            </w:r>
          </w:p>
        </w:tc>
        <w:tc>
          <w:tcPr>
            <w:tcW w:w="5565" w:type="dxa"/>
          </w:tcPr>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There is no core list of competencies which must be achieved by all students: any such list would be rapidly out-of-date. However, the very basic operations (</w:t>
            </w:r>
            <w:r w:rsidRPr="005A4D2F">
              <w:rPr>
                <w:rFonts w:ascii="Helvetica Neue" w:hAnsi="Helvetica Neue" w:cs="Arial"/>
                <w:i/>
                <w:color w:val="003D7D"/>
                <w:sz w:val="20"/>
              </w:rPr>
              <w:t xml:space="preserve">sample and specimen handling, pipetting, manipulation of solutions, measurement, use of essential equipment) </w:t>
            </w:r>
            <w:r w:rsidRPr="00C178C8">
              <w:rPr>
                <w:rFonts w:ascii="Helvetica Neue" w:hAnsi="Helvetica Neue" w:cs="Arial"/>
                <w:color w:val="003D7D"/>
                <w:sz w:val="20"/>
              </w:rPr>
              <w:t>and knowledge of the different forms of error would</w:t>
            </w:r>
            <w:r w:rsidRPr="005A4D2F">
              <w:rPr>
                <w:rFonts w:ascii="Helvetica Neue" w:hAnsi="Helvetica Neue" w:cs="Arial"/>
                <w:color w:val="003D7D"/>
                <w:sz w:val="20"/>
              </w:rPr>
              <w:t xml:space="preserve"> be expected. </w:t>
            </w:r>
          </w:p>
          <w:p w:rsidR="00704E42" w:rsidRPr="005A4D2F" w:rsidRDefault="00704E42" w:rsidP="0053034B">
            <w:pPr>
              <w:rPr>
                <w:rFonts w:ascii="Helvetica Neue" w:hAnsi="Helvetica Neue" w:cs="Arial"/>
                <w:color w:val="003D7D"/>
                <w:sz w:val="20"/>
              </w:rPr>
            </w:pPr>
          </w:p>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 xml:space="preserve">Different subject areas will have different requirements </w:t>
            </w:r>
            <w:r>
              <w:rPr>
                <w:rFonts w:ascii="Helvetica Neue" w:hAnsi="Helvetica Neue" w:cs="Arial"/>
                <w:color w:val="003D7D"/>
                <w:sz w:val="20"/>
              </w:rPr>
              <w:t>–</w:t>
            </w:r>
            <w:r w:rsidRPr="005A4D2F">
              <w:rPr>
                <w:rFonts w:ascii="Helvetica Neue" w:hAnsi="Helvetica Neue" w:cs="Arial"/>
                <w:color w:val="003D7D"/>
                <w:sz w:val="20"/>
              </w:rPr>
              <w:t xml:space="preserve"> please check the requirements under </w:t>
            </w:r>
            <w:hyperlink w:anchor="Acc_Criterion_5_Guidance" w:history="1">
              <w:r w:rsidRPr="005A4D2F">
                <w:rPr>
                  <w:rStyle w:val="Hyperlink"/>
                  <w:rFonts w:ascii="Helvetica Neue" w:hAnsi="Helvetica Neue" w:cs="Arial"/>
                  <w:color w:val="003D7D"/>
                  <w:sz w:val="20"/>
                  <w:u w:val="none"/>
                </w:rPr>
                <w:t>criterion five</w:t>
              </w:r>
            </w:hyperlink>
            <w:r w:rsidRPr="005A4D2F">
              <w:rPr>
                <w:rFonts w:ascii="Helvetica Neue" w:hAnsi="Helvetica Neue" w:cs="Arial"/>
                <w:color w:val="003D7D"/>
                <w:sz w:val="20"/>
              </w:rPr>
              <w:t xml:space="preserve">, which gives links to subject-specific material. The Society will need to feel confident that the HEI is </w:t>
            </w:r>
            <w:r w:rsidRPr="005A4D2F">
              <w:rPr>
                <w:rFonts w:ascii="Helvetica Neue" w:hAnsi="Helvetica Neue" w:cs="Arial"/>
                <w:b/>
                <w:color w:val="003D7D"/>
                <w:sz w:val="20"/>
              </w:rPr>
              <w:t>explicit</w:t>
            </w:r>
            <w:r w:rsidRPr="005A4D2F">
              <w:rPr>
                <w:rFonts w:ascii="Helvetica Neue" w:hAnsi="Helvetica Neue" w:cs="Arial"/>
                <w:color w:val="003D7D"/>
                <w:sz w:val="20"/>
              </w:rPr>
              <w:t xml:space="preserve"> about which technical skills are being acquired by its students and where they are assessed. The HEI should have, and provide, </w:t>
            </w:r>
            <w:r w:rsidRPr="005A4D2F">
              <w:rPr>
                <w:rFonts w:ascii="Helvetica Neue" w:hAnsi="Helvetica Neue" w:cs="Arial"/>
                <w:b/>
                <w:color w:val="003D7D"/>
                <w:sz w:val="20"/>
              </w:rPr>
              <w:t>a list of the core technical skills used in the laboratory and/or field, which form the foundation for the degree subject,</w:t>
            </w:r>
            <w:r w:rsidRPr="005A4D2F">
              <w:rPr>
                <w:rFonts w:ascii="Helvetica Neue" w:hAnsi="Helvetica Neue" w:cs="Arial"/>
                <w:color w:val="003D7D"/>
                <w:sz w:val="20"/>
              </w:rPr>
              <w:t xml:space="preserve"> and what would be deemed appropriate as a level of competency.</w:t>
            </w:r>
          </w:p>
          <w:p w:rsidR="00704E42" w:rsidRPr="005A4D2F" w:rsidRDefault="00704E42" w:rsidP="0053034B">
            <w:pPr>
              <w:rPr>
                <w:rFonts w:ascii="Helvetica Neue" w:hAnsi="Helvetica Neue" w:cs="Arial"/>
                <w:color w:val="003D7D"/>
                <w:sz w:val="20"/>
              </w:rPr>
            </w:pPr>
          </w:p>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 xml:space="preserve">A bespoke list may not be necessary if it is already present, for example in validation documentation or student handbooks. If a bespoke summary for the submission is required then please follow the format of the table given in </w:t>
            </w:r>
            <w:hyperlink w:anchor="_Annex_2_–" w:history="1">
              <w:r w:rsidRPr="005A4D2F">
                <w:rPr>
                  <w:rStyle w:val="Hyperlink"/>
                  <w:rFonts w:ascii="Helvetica Neue" w:hAnsi="Helvetica Neue" w:cs="Arial"/>
                  <w:color w:val="003D7D"/>
                  <w:sz w:val="20"/>
                  <w:u w:val="none"/>
                </w:rPr>
                <w:t>Annex 2</w:t>
              </w:r>
            </w:hyperlink>
            <w:r w:rsidRPr="005A4D2F">
              <w:rPr>
                <w:rFonts w:ascii="Helvetica Neue" w:hAnsi="Helvetica Neue" w:cs="Arial"/>
                <w:color w:val="003D7D"/>
                <w:sz w:val="20"/>
              </w:rPr>
              <w:t>. The table should evidence a progressive approach (</w:t>
            </w:r>
            <w:hyperlink w:anchor="Acc_Criterion_2ii_Guidance" w:history="1">
              <w:r w:rsidRPr="005A4D2F">
                <w:rPr>
                  <w:rStyle w:val="Hyperlink"/>
                  <w:rFonts w:ascii="Helvetica Neue" w:hAnsi="Helvetica Neue" w:cs="Arial"/>
                  <w:color w:val="003D7D"/>
                  <w:sz w:val="20"/>
                  <w:u w:val="none"/>
                </w:rPr>
                <w:t>see 2ii</w:t>
              </w:r>
            </w:hyperlink>
            <w:r w:rsidRPr="005A4D2F">
              <w:rPr>
                <w:rFonts w:ascii="Helvetica Neue" w:hAnsi="Helvetica Neue" w:cs="Arial"/>
                <w:color w:val="003D7D"/>
                <w:sz w:val="20"/>
              </w:rPr>
              <w:t>), where basic techniques and skills are built on during the course of the programme.</w:t>
            </w:r>
          </w:p>
          <w:p w:rsidR="00704E42" w:rsidRPr="005A4D2F" w:rsidRDefault="00704E42" w:rsidP="0053034B">
            <w:pPr>
              <w:rPr>
                <w:rFonts w:ascii="Helvetica Neue" w:hAnsi="Helvetica Neue" w:cs="Arial"/>
                <w:color w:val="003D7D"/>
                <w:sz w:val="20"/>
              </w:rPr>
            </w:pPr>
          </w:p>
        </w:tc>
      </w:tr>
      <w:tr w:rsidR="00704E42" w:rsidRPr="005A4D2F" w:rsidTr="00704E42">
        <w:trPr>
          <w:jc w:val="center"/>
        </w:trPr>
        <w:tc>
          <w:tcPr>
            <w:tcW w:w="4679" w:type="dxa"/>
          </w:tcPr>
          <w:p w:rsidR="00704E42" w:rsidRPr="005A4D2F" w:rsidRDefault="00704E42" w:rsidP="0053034B">
            <w:pPr>
              <w:rPr>
                <w:rFonts w:ascii="Helvetica Neue" w:hAnsi="Helvetica Neue" w:cs="Arial"/>
                <w:b/>
                <w:color w:val="003D7D"/>
                <w:sz w:val="20"/>
              </w:rPr>
            </w:pPr>
          </w:p>
          <w:p w:rsidR="00704E42" w:rsidRPr="005A4D2F" w:rsidRDefault="00704E42" w:rsidP="0053034B">
            <w:pPr>
              <w:rPr>
                <w:rFonts w:ascii="Helvetica Neue" w:hAnsi="Helvetica Neue" w:cs="Arial"/>
                <w:b/>
                <w:color w:val="003D7D"/>
                <w:sz w:val="20"/>
              </w:rPr>
            </w:pPr>
            <w:r w:rsidRPr="005A4D2F">
              <w:rPr>
                <w:rFonts w:ascii="Helvetica Neue" w:hAnsi="Helvetica Neue" w:cs="Arial"/>
                <w:b/>
                <w:color w:val="003D7D"/>
                <w:sz w:val="20"/>
              </w:rPr>
              <w:t>iv. There is evidence of competency in the core technical skills for all students on the programme</w:t>
            </w:r>
          </w:p>
          <w:p w:rsidR="00704E42" w:rsidRPr="005A4D2F" w:rsidRDefault="00704E42" w:rsidP="0053034B">
            <w:pPr>
              <w:rPr>
                <w:rFonts w:ascii="Helvetica Neue" w:hAnsi="Helvetica Neue" w:cs="Arial"/>
                <w:b/>
                <w:color w:val="003D7D"/>
                <w:sz w:val="20"/>
              </w:rPr>
            </w:pPr>
          </w:p>
        </w:tc>
        <w:tc>
          <w:tcPr>
            <w:tcW w:w="5565" w:type="dxa"/>
          </w:tcPr>
          <w:p w:rsidR="00704E42" w:rsidRPr="00986D39" w:rsidRDefault="00704E42" w:rsidP="0053034B">
            <w:pPr>
              <w:rPr>
                <w:rFonts w:ascii="Helvetica Neue" w:hAnsi="Helvetica Neue" w:cs="Arial"/>
                <w:color w:val="003D7D"/>
                <w:sz w:val="20"/>
              </w:rPr>
            </w:pPr>
            <w:r w:rsidRPr="005A4D2F">
              <w:rPr>
                <w:rFonts w:ascii="Helvetica Neue" w:hAnsi="Helvetica Neue" w:cs="Arial"/>
                <w:color w:val="003D7D"/>
                <w:sz w:val="20"/>
              </w:rPr>
              <w:t>There should be description of how the technical skills are assessed. This can be briefly summarised in the submitted matrix (</w:t>
            </w:r>
            <w:hyperlink w:anchor="_Annex_2_–" w:history="1">
              <w:r w:rsidRPr="00625516">
                <w:rPr>
                  <w:rStyle w:val="Hyperlink"/>
                  <w:rFonts w:ascii="Helvetica Neue" w:hAnsi="Helvetica Neue"/>
                  <w:color w:val="003D7D"/>
                  <w:sz w:val="20"/>
                  <w:u w:val="none"/>
                </w:rPr>
                <w:t>Annex 2</w:t>
              </w:r>
            </w:hyperlink>
            <w:r w:rsidRPr="005A4D2F">
              <w:rPr>
                <w:rFonts w:ascii="Helvetica Neue" w:hAnsi="Helvetica Neue" w:cs="Arial"/>
                <w:color w:val="003D7D"/>
                <w:sz w:val="20"/>
              </w:rPr>
              <w:t>). For example, “</w:t>
            </w:r>
            <w:r w:rsidRPr="005A4D2F">
              <w:rPr>
                <w:rFonts w:ascii="Helvetica Neue" w:hAnsi="Helvetica Neue" w:cs="Arial"/>
                <w:i/>
                <w:color w:val="003D7D"/>
                <w:sz w:val="20"/>
              </w:rPr>
              <w:t>technical skills of individuals are assessed on a pass/fail basis by laboratory demonstrators during the series of practical classes in modules BIO40001, BIO40002</w:t>
            </w:r>
            <w:r w:rsidRPr="005A4D2F">
              <w:rPr>
                <w:rFonts w:ascii="Helvetica Neue" w:hAnsi="Helvetica Neue" w:cs="Arial"/>
                <w:color w:val="003D7D"/>
                <w:sz w:val="20"/>
              </w:rPr>
              <w:t xml:space="preserve">”, or any other appropriate approach. Assessments that test knowledge and understanding (e.g. written reports or theory examinations) cannot, on their own, be used to assess technical skill. HEIs may wish to discuss their approach with the Society who provide training courses for Society members on teaching, </w:t>
            </w:r>
            <w:r w:rsidRPr="00986D39">
              <w:rPr>
                <w:rFonts w:ascii="Helvetica Neue" w:hAnsi="Helvetica Neue" w:cs="Arial"/>
                <w:color w:val="003D7D"/>
                <w:sz w:val="20"/>
              </w:rPr>
              <w:t>learning and assessment in the biosciences, and generate and share examples of good practice.</w:t>
            </w:r>
          </w:p>
          <w:p w:rsidR="00704E42" w:rsidRPr="00986D39" w:rsidRDefault="00704E42" w:rsidP="0053034B">
            <w:pPr>
              <w:rPr>
                <w:rFonts w:ascii="Helvetica Neue" w:hAnsi="Helvetica Neue" w:cs="Arial"/>
                <w:color w:val="003D7D"/>
                <w:sz w:val="20"/>
              </w:rPr>
            </w:pPr>
          </w:p>
          <w:p w:rsidR="00704E42" w:rsidRPr="00986D39" w:rsidRDefault="00704E42" w:rsidP="0053034B">
            <w:pPr>
              <w:rPr>
                <w:rFonts w:ascii="Helvetica Neue" w:hAnsi="Helvetica Neue" w:cs="Arial"/>
                <w:color w:val="003D7D"/>
                <w:sz w:val="20"/>
              </w:rPr>
            </w:pPr>
            <w:r w:rsidRPr="00986D39">
              <w:rPr>
                <w:rFonts w:ascii="Helvetica Neue" w:hAnsi="Helvetica Neue" w:cs="Arial"/>
                <w:color w:val="003D7D"/>
                <w:sz w:val="20"/>
              </w:rPr>
              <w:t>If technical skill is being acquired and assessed in a module we would expect it to be reflected in the module learning outcomes.</w:t>
            </w:r>
          </w:p>
          <w:p w:rsidR="00704E42" w:rsidRPr="00986D39" w:rsidRDefault="00704E42" w:rsidP="0053034B">
            <w:pPr>
              <w:rPr>
                <w:rFonts w:ascii="Helvetica Neue" w:hAnsi="Helvetica Neue" w:cs="Arial"/>
                <w:color w:val="003D7D"/>
                <w:sz w:val="20"/>
              </w:rPr>
            </w:pPr>
          </w:p>
          <w:p w:rsidR="00704E42" w:rsidRPr="005A4D2F" w:rsidRDefault="00704E42" w:rsidP="0053034B">
            <w:pPr>
              <w:rPr>
                <w:rFonts w:ascii="Helvetica Neue" w:hAnsi="Helvetica Neue" w:cs="Arial"/>
                <w:color w:val="003D7D"/>
                <w:sz w:val="20"/>
              </w:rPr>
            </w:pPr>
            <w:r w:rsidRPr="00986D39">
              <w:rPr>
                <w:rFonts w:ascii="Helvetica Neue" w:hAnsi="Helvetica Neue" w:cs="Arial"/>
                <w:color w:val="003D7D"/>
                <w:sz w:val="20"/>
              </w:rPr>
              <w:t>Evidence should be provided of a basic competency in the core technical</w:t>
            </w:r>
            <w:r w:rsidRPr="005A4D2F">
              <w:rPr>
                <w:rFonts w:ascii="Helvetica Neue" w:hAnsi="Helvetica Neue" w:cs="Arial"/>
                <w:color w:val="003D7D"/>
                <w:sz w:val="20"/>
              </w:rPr>
              <w:t xml:space="preserve"> skills for all students on the programme. For example, through a record of the individual achievement of skills. There must be evidence that students are trained and tested in the basic competencies, and achieve a threshold standard set by the HEI, and which would be deemed appropriate, for example, by employers. However, there is no requirement for all students to achieve a high level of competency in every technical skill. The Society is accrediting life science programmes, not professional training programmes.</w:t>
            </w:r>
          </w:p>
          <w:p w:rsidR="00704E42" w:rsidRPr="005A4D2F" w:rsidRDefault="00704E42" w:rsidP="0053034B">
            <w:pPr>
              <w:rPr>
                <w:rFonts w:ascii="Helvetica Neue" w:hAnsi="Helvetica Neue" w:cs="Arial"/>
                <w:color w:val="003D7D"/>
                <w:sz w:val="20"/>
              </w:rPr>
            </w:pPr>
          </w:p>
        </w:tc>
      </w:tr>
      <w:tr w:rsidR="00704E42" w:rsidRPr="005A4D2F" w:rsidTr="00704E42">
        <w:trPr>
          <w:jc w:val="center"/>
        </w:trPr>
        <w:tc>
          <w:tcPr>
            <w:tcW w:w="4679" w:type="dxa"/>
          </w:tcPr>
          <w:p w:rsidR="00704E42" w:rsidRPr="005A4D2F" w:rsidRDefault="00704E42" w:rsidP="0053034B">
            <w:pPr>
              <w:rPr>
                <w:rFonts w:ascii="Helvetica Neue" w:hAnsi="Helvetica Neue" w:cs="Arial"/>
                <w:b/>
                <w:color w:val="003D7D"/>
                <w:sz w:val="20"/>
              </w:rPr>
            </w:pPr>
          </w:p>
          <w:p w:rsidR="00704E42" w:rsidRPr="005A4D2F" w:rsidRDefault="00704E42" w:rsidP="0053034B">
            <w:pPr>
              <w:rPr>
                <w:rFonts w:ascii="Helvetica Neue" w:hAnsi="Helvetica Neue" w:cs="Arial"/>
                <w:b/>
                <w:color w:val="003D7D"/>
                <w:sz w:val="20"/>
              </w:rPr>
            </w:pPr>
            <w:r w:rsidRPr="005A4D2F">
              <w:rPr>
                <w:rFonts w:ascii="Helvetica Neue" w:hAnsi="Helvetica Neue" w:cs="Arial"/>
                <w:b/>
                <w:color w:val="003D7D"/>
                <w:sz w:val="20"/>
              </w:rPr>
              <w:t>v. Training in research study design and the principles of data management, such as Good Laboratory Practice</w:t>
            </w:r>
          </w:p>
        </w:tc>
        <w:tc>
          <w:tcPr>
            <w:tcW w:w="5565" w:type="dxa"/>
          </w:tcPr>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Obtaining and managing data is critical for successful evidence-based approaches, be they in the laboratory or in wider employment. Data management in particular is critical for ensuring that evidence gathered is verifiable, and for Quality Management, embodied in the principles of Good Laboratory Practice (GLP) and other similar approaches. GLP is internationally recognised for the development and manufacture of drugs. While using a full GLP approach in a learning and teaching environment is not usually feasible, students should be introduced to the concepts embodied by GLP and Quality Management, and should be able to discuss and defend the approaches implicit in this approach.</w:t>
            </w:r>
          </w:p>
          <w:p w:rsidR="00704E42" w:rsidRPr="005A4D2F" w:rsidRDefault="00704E42" w:rsidP="0053034B">
            <w:pPr>
              <w:rPr>
                <w:rFonts w:ascii="Helvetica Neue" w:hAnsi="Helvetica Neue" w:cs="Arial"/>
                <w:color w:val="003D7D"/>
                <w:sz w:val="20"/>
              </w:rPr>
            </w:pPr>
          </w:p>
        </w:tc>
      </w:tr>
      <w:tr w:rsidR="00704E42" w:rsidRPr="0026604C" w:rsidTr="00704E42">
        <w:trPr>
          <w:jc w:val="center"/>
        </w:trPr>
        <w:tc>
          <w:tcPr>
            <w:tcW w:w="4679" w:type="dxa"/>
          </w:tcPr>
          <w:p w:rsidR="00704E42" w:rsidRPr="005A4D2F" w:rsidRDefault="00704E42" w:rsidP="0053034B">
            <w:pPr>
              <w:rPr>
                <w:rFonts w:ascii="Helvetica Neue" w:hAnsi="Helvetica Neue" w:cs="Arial"/>
                <w:b/>
                <w:color w:val="003D7D"/>
                <w:sz w:val="20"/>
              </w:rPr>
            </w:pPr>
          </w:p>
          <w:p w:rsidR="00704E42" w:rsidRPr="005A4D2F" w:rsidRDefault="00704E42" w:rsidP="0053034B">
            <w:pPr>
              <w:rPr>
                <w:rFonts w:ascii="Helvetica Neue" w:hAnsi="Helvetica Neue" w:cs="Arial"/>
                <w:b/>
                <w:color w:val="003D7D"/>
                <w:sz w:val="20"/>
              </w:rPr>
            </w:pPr>
            <w:r w:rsidRPr="005A4D2F">
              <w:rPr>
                <w:rFonts w:ascii="Helvetica Neue" w:hAnsi="Helvetica Neue" w:cs="Arial"/>
                <w:b/>
                <w:color w:val="003D7D"/>
                <w:sz w:val="20"/>
              </w:rPr>
              <w:t>vi. Students will appreciate the concept of ‘Big Data’ and its importance in understanding the living world</w:t>
            </w:r>
          </w:p>
          <w:p w:rsidR="00704E42" w:rsidRPr="005A4D2F" w:rsidRDefault="00704E42" w:rsidP="0053034B">
            <w:pPr>
              <w:rPr>
                <w:rFonts w:ascii="Helvetica Neue" w:hAnsi="Helvetica Neue" w:cs="Arial"/>
                <w:b/>
                <w:color w:val="003D7D"/>
                <w:sz w:val="20"/>
              </w:rPr>
            </w:pPr>
          </w:p>
        </w:tc>
        <w:tc>
          <w:tcPr>
            <w:tcW w:w="5565" w:type="dxa"/>
          </w:tcPr>
          <w:p w:rsidR="00704E42" w:rsidRDefault="00704E42" w:rsidP="0053034B">
            <w:pPr>
              <w:rPr>
                <w:rFonts w:ascii="Helvetica Neue" w:hAnsi="Helvetica Neue" w:cs="Arial"/>
                <w:color w:val="003D7D"/>
                <w:sz w:val="20"/>
              </w:rPr>
            </w:pPr>
            <w:r w:rsidRPr="005A4D2F">
              <w:rPr>
                <w:rFonts w:ascii="Helvetica Neue" w:hAnsi="Helvetica Neue" w:cs="Arial"/>
                <w:color w:val="003D7D"/>
                <w:sz w:val="20"/>
              </w:rPr>
              <w:t xml:space="preserve">"Big Data" is the name given to extremely large data sets that are now generated both in biological research and in the wider business and industrial world. In </w:t>
            </w:r>
            <w:proofErr w:type="gramStart"/>
            <w:r w:rsidRPr="005A4D2F">
              <w:rPr>
                <w:rFonts w:ascii="Helvetica Neue" w:hAnsi="Helvetica Neue" w:cs="Arial"/>
                <w:color w:val="003D7D"/>
                <w:sz w:val="20"/>
              </w:rPr>
              <w:t>particular</w:t>
            </w:r>
            <w:proofErr w:type="gramEnd"/>
            <w:r w:rsidRPr="005A4D2F">
              <w:rPr>
                <w:rFonts w:ascii="Helvetica Neue" w:hAnsi="Helvetica Neue" w:cs="Arial"/>
                <w:color w:val="003D7D"/>
                <w:sz w:val="20"/>
              </w:rPr>
              <w:t xml:space="preserve"> for the biosciences, the development of large data sets to address questions from a molecular level to a population level, be it genomics or environmental level analyses, poses challenges in understanding the scale, advantages and drawbacks of such datasets. Students should understand the nature and difficulties of working with large data sets, including their strengths and limitations.</w:t>
            </w:r>
          </w:p>
          <w:p w:rsidR="00704E42" w:rsidRPr="0026604C" w:rsidRDefault="00704E42" w:rsidP="0053034B">
            <w:pPr>
              <w:rPr>
                <w:rFonts w:ascii="Helvetica Neue" w:hAnsi="Helvetica Neue" w:cs="Arial"/>
                <w:color w:val="003D7D"/>
                <w:sz w:val="20"/>
              </w:rPr>
            </w:pPr>
          </w:p>
        </w:tc>
      </w:tr>
    </w:tbl>
    <w:p w:rsidR="00704E42" w:rsidRDefault="00704E42" w:rsidP="00704E42"/>
    <w:p w:rsidR="00FC0BA9" w:rsidRDefault="00FC0BA9" w:rsidP="00704E42"/>
    <w:tbl>
      <w:tblPr>
        <w:tblStyle w:val="TableGrid"/>
        <w:tblW w:w="10259" w:type="dxa"/>
        <w:jc w:val="center"/>
        <w:tblBorders>
          <w:top w:val="single" w:sz="2" w:space="0" w:color="48A942"/>
          <w:left w:val="single" w:sz="2" w:space="0" w:color="48A942"/>
          <w:bottom w:val="single" w:sz="2" w:space="0" w:color="48A942"/>
          <w:right w:val="single" w:sz="2" w:space="0" w:color="48A942"/>
          <w:insideH w:val="single" w:sz="2" w:space="0" w:color="48A942"/>
          <w:insideV w:val="single" w:sz="2" w:space="0" w:color="48A942"/>
        </w:tblBorders>
        <w:tblLook w:val="04A0" w:firstRow="1" w:lastRow="0" w:firstColumn="1" w:lastColumn="0" w:noHBand="0" w:noVBand="1"/>
      </w:tblPr>
      <w:tblGrid>
        <w:gridCol w:w="4679"/>
        <w:gridCol w:w="5580"/>
      </w:tblGrid>
      <w:tr w:rsidR="00704E42" w:rsidRPr="0026604C" w:rsidTr="00704E42">
        <w:trPr>
          <w:jc w:val="center"/>
        </w:trPr>
        <w:tc>
          <w:tcPr>
            <w:tcW w:w="10259" w:type="dxa"/>
            <w:gridSpan w:val="2"/>
          </w:tcPr>
          <w:p w:rsidR="00704E42" w:rsidRDefault="00704E42" w:rsidP="0053034B">
            <w:pPr>
              <w:rPr>
                <w:rFonts w:ascii="Helvetica Neue" w:hAnsi="Helvetica Neue" w:cs="Arial"/>
                <w:b/>
                <w:color w:val="48A942"/>
                <w:sz w:val="20"/>
              </w:rPr>
            </w:pPr>
          </w:p>
          <w:p w:rsidR="00704E42" w:rsidRDefault="00704E42" w:rsidP="0053034B">
            <w:pPr>
              <w:rPr>
                <w:rFonts w:ascii="Helvetica Neue" w:hAnsi="Helvetica Neue" w:cs="Arial"/>
                <w:b/>
                <w:color w:val="48A942"/>
                <w:sz w:val="20"/>
              </w:rPr>
            </w:pPr>
            <w:r w:rsidRPr="0026604C">
              <w:rPr>
                <w:rFonts w:ascii="Helvetica Neue" w:hAnsi="Helvetica Neue" w:cs="Arial"/>
                <w:b/>
                <w:color w:val="48A942"/>
                <w:sz w:val="20"/>
              </w:rPr>
              <w:t>3. The development and use of transferable graduate skills</w:t>
            </w:r>
          </w:p>
          <w:p w:rsidR="00704E42" w:rsidRPr="0026604C" w:rsidRDefault="00704E42" w:rsidP="0053034B">
            <w:pPr>
              <w:rPr>
                <w:rFonts w:ascii="Helvetica Neue" w:hAnsi="Helvetica Neue" w:cs="Arial"/>
                <w:b/>
                <w:color w:val="003D7D"/>
                <w:sz w:val="20"/>
              </w:rPr>
            </w:pPr>
          </w:p>
        </w:tc>
      </w:tr>
      <w:tr w:rsidR="00704E42" w:rsidRPr="0026604C" w:rsidTr="00704E42">
        <w:trPr>
          <w:jc w:val="center"/>
        </w:trPr>
        <w:tc>
          <w:tcPr>
            <w:tcW w:w="4679" w:type="dxa"/>
          </w:tcPr>
          <w:p w:rsidR="00704E42" w:rsidRPr="0026604C" w:rsidRDefault="00704E42" w:rsidP="0053034B">
            <w:pPr>
              <w:rPr>
                <w:rFonts w:ascii="Helvetica Neue" w:hAnsi="Helvetica Neue" w:cs="Arial"/>
                <w:b/>
                <w:color w:val="003D7D"/>
                <w:sz w:val="20"/>
              </w:rPr>
            </w:pPr>
          </w:p>
          <w:p w:rsidR="00704E42" w:rsidRPr="0026604C" w:rsidRDefault="00704E42" w:rsidP="0053034B">
            <w:pPr>
              <w:rPr>
                <w:rFonts w:ascii="Helvetica Neue" w:hAnsi="Helvetica Neue" w:cs="Arial"/>
                <w:b/>
                <w:color w:val="003D7D"/>
                <w:sz w:val="20"/>
              </w:rPr>
            </w:pPr>
            <w:r>
              <w:rPr>
                <w:rFonts w:ascii="Helvetica Neue" w:hAnsi="Helvetica Neue" w:cs="Arial"/>
                <w:b/>
                <w:color w:val="003D7D"/>
                <w:sz w:val="20"/>
              </w:rPr>
              <w:t>Attributes</w:t>
            </w:r>
          </w:p>
          <w:p w:rsidR="00704E42" w:rsidRPr="0026604C" w:rsidRDefault="00704E42" w:rsidP="0053034B">
            <w:pPr>
              <w:rPr>
                <w:rFonts w:ascii="Helvetica Neue" w:hAnsi="Helvetica Neue" w:cs="Arial"/>
                <w:b/>
                <w:color w:val="003D7D"/>
                <w:sz w:val="20"/>
              </w:rPr>
            </w:pPr>
          </w:p>
        </w:tc>
        <w:tc>
          <w:tcPr>
            <w:tcW w:w="5580" w:type="dxa"/>
          </w:tcPr>
          <w:p w:rsidR="00704E42" w:rsidRPr="0026604C" w:rsidRDefault="00704E42" w:rsidP="0053034B">
            <w:pPr>
              <w:rPr>
                <w:rFonts w:ascii="Helvetica Neue" w:hAnsi="Helvetica Neue" w:cs="Arial"/>
                <w:b/>
                <w:color w:val="003D7D"/>
                <w:sz w:val="20"/>
              </w:rPr>
            </w:pPr>
          </w:p>
          <w:p w:rsidR="00704E42" w:rsidRPr="0026604C" w:rsidRDefault="00704E42" w:rsidP="0053034B">
            <w:pPr>
              <w:rPr>
                <w:rFonts w:ascii="Helvetica Neue" w:hAnsi="Helvetica Neue" w:cs="Arial"/>
                <w:color w:val="003D7D"/>
                <w:sz w:val="20"/>
              </w:rPr>
            </w:pPr>
            <w:r w:rsidRPr="0026604C">
              <w:rPr>
                <w:rFonts w:ascii="Helvetica Neue" w:hAnsi="Helvetica Neue" w:cs="Arial"/>
                <w:b/>
                <w:color w:val="003D7D"/>
                <w:sz w:val="20"/>
              </w:rPr>
              <w:t>Notes</w:t>
            </w:r>
          </w:p>
        </w:tc>
      </w:tr>
      <w:tr w:rsidR="00704E42" w:rsidRPr="005A4D2F" w:rsidTr="00704E42">
        <w:trPr>
          <w:jc w:val="center"/>
        </w:trPr>
        <w:tc>
          <w:tcPr>
            <w:tcW w:w="4679" w:type="dxa"/>
          </w:tcPr>
          <w:p w:rsidR="00704E42" w:rsidRPr="0026604C" w:rsidRDefault="00704E42" w:rsidP="0053034B">
            <w:pPr>
              <w:rPr>
                <w:rFonts w:ascii="Helvetica Neue" w:hAnsi="Helvetica Neue" w:cs="Arial"/>
                <w:b/>
                <w:color w:val="003D7D"/>
                <w:sz w:val="20"/>
              </w:rPr>
            </w:pPr>
          </w:p>
          <w:p w:rsidR="00704E42" w:rsidRPr="005A4D2F" w:rsidRDefault="00704E42" w:rsidP="0053034B">
            <w:pPr>
              <w:rPr>
                <w:rFonts w:ascii="Helvetica Neue" w:hAnsi="Helvetica Neue" w:cs="Arial"/>
                <w:b/>
                <w:color w:val="003D7D"/>
                <w:sz w:val="20"/>
              </w:rPr>
            </w:pPr>
            <w:proofErr w:type="spellStart"/>
            <w:r w:rsidRPr="005A4D2F">
              <w:rPr>
                <w:rFonts w:ascii="Helvetica Neue" w:hAnsi="Helvetica Neue" w:cs="Arial"/>
                <w:b/>
                <w:color w:val="003D7D"/>
                <w:sz w:val="20"/>
              </w:rPr>
              <w:t>i</w:t>
            </w:r>
            <w:proofErr w:type="spellEnd"/>
            <w:r w:rsidRPr="005A4D2F">
              <w:rPr>
                <w:rFonts w:ascii="Helvetica Neue" w:hAnsi="Helvetica Neue" w:cs="Arial"/>
                <w:b/>
                <w:color w:val="003D7D"/>
                <w:sz w:val="20"/>
              </w:rPr>
              <w:t>. Graduates will have the basic skills of word processing, use of spreadsheets, and presentation software</w:t>
            </w:r>
          </w:p>
          <w:p w:rsidR="00704E42" w:rsidRPr="005A4D2F" w:rsidRDefault="00704E42" w:rsidP="0053034B">
            <w:pPr>
              <w:rPr>
                <w:rFonts w:ascii="Helvetica Neue" w:hAnsi="Helvetica Neue" w:cs="Arial"/>
                <w:b/>
                <w:color w:val="003D7D"/>
                <w:sz w:val="20"/>
              </w:rPr>
            </w:pPr>
          </w:p>
        </w:tc>
        <w:tc>
          <w:tcPr>
            <w:tcW w:w="5580" w:type="dxa"/>
          </w:tcPr>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There should be clear evidence that students have acquired these essential basic skills.</w:t>
            </w:r>
          </w:p>
          <w:p w:rsidR="00704E42" w:rsidRPr="005A4D2F" w:rsidRDefault="00704E42" w:rsidP="0053034B">
            <w:pPr>
              <w:rPr>
                <w:rFonts w:ascii="Helvetica Neue" w:hAnsi="Helvetica Neue" w:cs="Arial"/>
                <w:color w:val="003D7D"/>
                <w:sz w:val="20"/>
              </w:rPr>
            </w:pPr>
          </w:p>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 xml:space="preserve">As a general point, we would normally expect to see transferable skills in the learning outcomes of a module if the skill (as opposed to knowledge and understanding) is both acquired and assessed. But given the widespread use of IT in assignments we do not expect it to appear in the </w:t>
            </w:r>
            <w:r>
              <w:rPr>
                <w:rFonts w:ascii="Helvetica Neue" w:hAnsi="Helvetica Neue" w:cs="Arial"/>
                <w:color w:val="003D7D"/>
                <w:sz w:val="20"/>
              </w:rPr>
              <w:t>learning outcomes</w:t>
            </w:r>
            <w:r w:rsidRPr="005A4D2F">
              <w:rPr>
                <w:rFonts w:ascii="Helvetica Neue" w:hAnsi="Helvetica Neue" w:cs="Arial"/>
                <w:color w:val="003D7D"/>
                <w:sz w:val="20"/>
              </w:rPr>
              <w:t xml:space="preserve"> of all modules, only those where it represents a significant feature (e.g. where students are first introduced to spreadsheets etc.).</w:t>
            </w:r>
          </w:p>
          <w:p w:rsidR="00704E42" w:rsidRPr="005A4D2F" w:rsidRDefault="00704E42" w:rsidP="0053034B">
            <w:pPr>
              <w:rPr>
                <w:rFonts w:ascii="Helvetica Neue" w:hAnsi="Helvetica Neue" w:cs="Arial"/>
                <w:color w:val="003D7D"/>
                <w:sz w:val="20"/>
              </w:rPr>
            </w:pPr>
          </w:p>
        </w:tc>
      </w:tr>
      <w:tr w:rsidR="00704E42" w:rsidRPr="005A4D2F" w:rsidTr="00704E42">
        <w:trPr>
          <w:jc w:val="center"/>
        </w:trPr>
        <w:tc>
          <w:tcPr>
            <w:tcW w:w="4679" w:type="dxa"/>
          </w:tcPr>
          <w:p w:rsidR="00704E42" w:rsidRPr="005A4D2F" w:rsidRDefault="00704E42" w:rsidP="0053034B">
            <w:pPr>
              <w:rPr>
                <w:rFonts w:ascii="Helvetica Neue" w:hAnsi="Helvetica Neue" w:cs="Arial"/>
                <w:b/>
                <w:color w:val="003D7D"/>
                <w:sz w:val="20"/>
              </w:rPr>
            </w:pPr>
          </w:p>
          <w:p w:rsidR="00704E42" w:rsidRPr="005A4D2F" w:rsidRDefault="00704E42" w:rsidP="0053034B">
            <w:pPr>
              <w:rPr>
                <w:rFonts w:ascii="Helvetica Neue" w:hAnsi="Helvetica Neue" w:cs="Arial"/>
                <w:b/>
                <w:color w:val="003D7D"/>
                <w:sz w:val="20"/>
              </w:rPr>
            </w:pPr>
            <w:r w:rsidRPr="005A4D2F">
              <w:rPr>
                <w:rFonts w:ascii="Helvetica Neue" w:hAnsi="Helvetica Neue" w:cs="Arial"/>
                <w:b/>
                <w:color w:val="003D7D"/>
                <w:sz w:val="20"/>
              </w:rPr>
              <w:t>ii. Graduates will be able to find, cite and use appropriate information</w:t>
            </w:r>
          </w:p>
        </w:tc>
        <w:tc>
          <w:tcPr>
            <w:tcW w:w="5580" w:type="dxa"/>
          </w:tcPr>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There should be evidence that students:</w:t>
            </w:r>
          </w:p>
          <w:p w:rsidR="00704E42" w:rsidRPr="005A4D2F" w:rsidRDefault="00704E42" w:rsidP="0053034B">
            <w:pPr>
              <w:pStyle w:val="ListParagraph"/>
              <w:numPr>
                <w:ilvl w:val="0"/>
                <w:numId w:val="1"/>
              </w:numPr>
              <w:ind w:left="357" w:hanging="357"/>
              <w:contextualSpacing w:val="0"/>
              <w:rPr>
                <w:rFonts w:ascii="Helvetica Neue" w:hAnsi="Helvetica Neue" w:cs="Arial"/>
                <w:color w:val="003D7D"/>
                <w:sz w:val="20"/>
              </w:rPr>
            </w:pPr>
            <w:r w:rsidRPr="005A4D2F">
              <w:rPr>
                <w:rFonts w:ascii="Helvetica Neue" w:hAnsi="Helvetica Neue" w:cs="Arial"/>
                <w:color w:val="003D7D"/>
                <w:sz w:val="20"/>
              </w:rPr>
              <w:t>are able to collect, sort and protect/backup personal online resources, including issues of intellectual property</w:t>
            </w:r>
          </w:p>
          <w:p w:rsidR="00704E42" w:rsidRPr="005A4D2F" w:rsidRDefault="00704E42" w:rsidP="0053034B">
            <w:pPr>
              <w:pStyle w:val="ListParagraph"/>
              <w:numPr>
                <w:ilvl w:val="0"/>
                <w:numId w:val="1"/>
              </w:numPr>
              <w:ind w:left="357" w:hanging="357"/>
              <w:contextualSpacing w:val="0"/>
              <w:rPr>
                <w:rFonts w:ascii="Helvetica Neue" w:hAnsi="Helvetica Neue" w:cs="Arial"/>
                <w:color w:val="003D7D"/>
                <w:sz w:val="20"/>
              </w:rPr>
            </w:pPr>
            <w:r w:rsidRPr="005A4D2F">
              <w:rPr>
                <w:rFonts w:ascii="Helvetica Neue" w:hAnsi="Helvetica Neue" w:cs="Arial"/>
                <w:color w:val="003D7D"/>
                <w:sz w:val="20"/>
              </w:rPr>
              <w:t>demonstrate competence in the use of reference management systems</w:t>
            </w:r>
          </w:p>
          <w:p w:rsidR="00704E42" w:rsidRPr="005A4D2F" w:rsidRDefault="00704E42" w:rsidP="0053034B">
            <w:pPr>
              <w:pStyle w:val="ListParagraph"/>
              <w:numPr>
                <w:ilvl w:val="0"/>
                <w:numId w:val="1"/>
              </w:numPr>
              <w:ind w:left="357" w:hanging="357"/>
              <w:contextualSpacing w:val="0"/>
              <w:rPr>
                <w:rFonts w:ascii="Helvetica Neue" w:hAnsi="Helvetica Neue" w:cs="Arial"/>
                <w:color w:val="003D7D"/>
                <w:sz w:val="20"/>
              </w:rPr>
            </w:pPr>
            <w:r w:rsidRPr="005A4D2F">
              <w:rPr>
                <w:rFonts w:ascii="Helvetica Neue" w:hAnsi="Helvetica Neue" w:cs="Arial"/>
                <w:color w:val="003D7D"/>
                <w:sz w:val="20"/>
              </w:rPr>
              <w:t>understand and avoid plagiarism and the importance of personal integrity</w:t>
            </w:r>
          </w:p>
          <w:p w:rsidR="00704E42" w:rsidRPr="005A4D2F" w:rsidRDefault="00704E42" w:rsidP="0053034B">
            <w:pPr>
              <w:pStyle w:val="ListParagraph"/>
              <w:numPr>
                <w:ilvl w:val="0"/>
                <w:numId w:val="1"/>
              </w:numPr>
              <w:ind w:left="357" w:hanging="357"/>
              <w:contextualSpacing w:val="0"/>
              <w:rPr>
                <w:rFonts w:ascii="Helvetica Neue" w:hAnsi="Helvetica Neue" w:cs="Arial"/>
                <w:color w:val="003D7D"/>
                <w:sz w:val="20"/>
              </w:rPr>
            </w:pPr>
            <w:r w:rsidRPr="005A4D2F">
              <w:rPr>
                <w:rFonts w:ascii="Helvetica Neue" w:hAnsi="Helvetica Neue" w:cs="Arial"/>
                <w:color w:val="003D7D"/>
                <w:sz w:val="20"/>
              </w:rPr>
              <w:t>make the most of social media opportunities for networking ethically and responsibly.</w:t>
            </w:r>
          </w:p>
          <w:p w:rsidR="00704E42" w:rsidRPr="005A4D2F" w:rsidRDefault="00704E42" w:rsidP="0053034B">
            <w:pPr>
              <w:rPr>
                <w:rFonts w:ascii="Helvetica Neue" w:hAnsi="Helvetica Neue" w:cs="Arial"/>
                <w:color w:val="003D7D"/>
                <w:sz w:val="20"/>
              </w:rPr>
            </w:pPr>
          </w:p>
        </w:tc>
      </w:tr>
      <w:tr w:rsidR="00704E42" w:rsidRPr="005A4D2F" w:rsidTr="00704E42">
        <w:trPr>
          <w:jc w:val="center"/>
        </w:trPr>
        <w:tc>
          <w:tcPr>
            <w:tcW w:w="4679" w:type="dxa"/>
          </w:tcPr>
          <w:p w:rsidR="00704E42" w:rsidRPr="005A4D2F" w:rsidRDefault="00704E42" w:rsidP="0053034B">
            <w:pPr>
              <w:rPr>
                <w:rFonts w:ascii="Helvetica Neue" w:hAnsi="Helvetica Neue" w:cs="Arial"/>
                <w:b/>
                <w:color w:val="003D7D"/>
                <w:sz w:val="20"/>
              </w:rPr>
            </w:pPr>
          </w:p>
          <w:p w:rsidR="00704E42" w:rsidRPr="005A4D2F" w:rsidRDefault="00704E42" w:rsidP="0053034B">
            <w:pPr>
              <w:rPr>
                <w:rFonts w:ascii="Helvetica Neue" w:hAnsi="Helvetica Neue" w:cs="Arial"/>
                <w:b/>
                <w:color w:val="003D7D"/>
                <w:sz w:val="20"/>
              </w:rPr>
            </w:pPr>
            <w:r w:rsidRPr="005A4D2F">
              <w:rPr>
                <w:rFonts w:ascii="Helvetica Neue" w:hAnsi="Helvetica Neue" w:cs="Arial"/>
                <w:b/>
                <w:color w:val="003D7D"/>
                <w:sz w:val="20"/>
              </w:rPr>
              <w:t>iii. There will be evidence that students will consider and approach a wide range of problems and problem types critically, confidently and independently</w:t>
            </w:r>
          </w:p>
          <w:p w:rsidR="00704E42" w:rsidRPr="005A4D2F" w:rsidRDefault="00704E42" w:rsidP="0053034B">
            <w:pPr>
              <w:rPr>
                <w:rFonts w:ascii="Helvetica Neue" w:hAnsi="Helvetica Neue" w:cs="Arial"/>
                <w:b/>
                <w:color w:val="003D7D"/>
                <w:sz w:val="20"/>
              </w:rPr>
            </w:pPr>
          </w:p>
        </w:tc>
        <w:tc>
          <w:tcPr>
            <w:tcW w:w="5580" w:type="dxa"/>
          </w:tcPr>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The criterion includes two broad categories of problem: mathematical and logistical (e.g. in research, manufacture, health care or environmental management). Students should be exposed to both during the programme.</w:t>
            </w:r>
          </w:p>
          <w:p w:rsidR="00704E42" w:rsidRPr="005A4D2F" w:rsidRDefault="00704E42" w:rsidP="0053034B">
            <w:pPr>
              <w:rPr>
                <w:rFonts w:ascii="Helvetica Neue" w:hAnsi="Helvetica Neue" w:cs="Arial"/>
                <w:color w:val="003D7D"/>
                <w:sz w:val="20"/>
              </w:rPr>
            </w:pPr>
          </w:p>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The curriculum should show evidence of integration and reinforcement of problem solving skills throughout a degree programme. Institutions should provide evidence that there are opportunities for the development of these skills at all levels of degree programmes so that students graduate as creative and effective problem solvers.</w:t>
            </w:r>
          </w:p>
          <w:p w:rsidR="00704E42" w:rsidRPr="005A4D2F" w:rsidRDefault="00704E42" w:rsidP="0053034B">
            <w:pPr>
              <w:rPr>
                <w:rFonts w:ascii="Helvetica Neue" w:hAnsi="Helvetica Neue" w:cs="Arial"/>
                <w:color w:val="003D7D"/>
                <w:sz w:val="20"/>
              </w:rPr>
            </w:pPr>
          </w:p>
          <w:p w:rsidR="00704E42" w:rsidRPr="005A4D2F" w:rsidRDefault="00704E42" w:rsidP="0053034B">
            <w:pPr>
              <w:rPr>
                <w:rFonts w:ascii="Helvetica Neue" w:hAnsi="Helvetica Neue" w:cs="Arial"/>
                <w:i/>
                <w:color w:val="003D7D"/>
                <w:sz w:val="20"/>
              </w:rPr>
            </w:pPr>
            <w:r w:rsidRPr="005A4D2F">
              <w:rPr>
                <w:rFonts w:ascii="Helvetica Neue" w:hAnsi="Helvetica Neue" w:cs="Arial"/>
                <w:i/>
                <w:color w:val="003D7D"/>
                <w:sz w:val="20"/>
              </w:rPr>
              <w:t>Students should be encouraged (wherever appropriate) to:</w:t>
            </w:r>
          </w:p>
          <w:p w:rsidR="00704E42" w:rsidRPr="005A4D2F" w:rsidRDefault="00704E42" w:rsidP="0053034B">
            <w:pPr>
              <w:pStyle w:val="ListParagraph"/>
              <w:numPr>
                <w:ilvl w:val="0"/>
                <w:numId w:val="1"/>
              </w:numPr>
              <w:ind w:left="357" w:hanging="357"/>
              <w:contextualSpacing w:val="0"/>
              <w:rPr>
                <w:rFonts w:ascii="Helvetica Neue" w:hAnsi="Helvetica Neue" w:cs="Arial"/>
                <w:i/>
                <w:color w:val="003D7D"/>
                <w:sz w:val="20"/>
              </w:rPr>
            </w:pPr>
            <w:r w:rsidRPr="005A4D2F">
              <w:rPr>
                <w:rFonts w:ascii="Helvetica Neue" w:hAnsi="Helvetica Neue" w:cs="Arial"/>
                <w:i/>
                <w:color w:val="003D7D"/>
                <w:sz w:val="20"/>
              </w:rPr>
              <w:t>rephrase problems in their own words and be clear about what is being asked; divide a complex problem into smaller, more manageable steps</w:t>
            </w:r>
          </w:p>
          <w:p w:rsidR="00704E42" w:rsidRPr="005A4D2F" w:rsidRDefault="00704E42" w:rsidP="0053034B">
            <w:pPr>
              <w:pStyle w:val="ListParagraph"/>
              <w:numPr>
                <w:ilvl w:val="0"/>
                <w:numId w:val="1"/>
              </w:numPr>
              <w:ind w:left="357" w:hanging="357"/>
              <w:contextualSpacing w:val="0"/>
              <w:rPr>
                <w:rFonts w:ascii="Helvetica Neue" w:hAnsi="Helvetica Neue" w:cs="Arial"/>
                <w:i/>
                <w:color w:val="003D7D"/>
                <w:sz w:val="20"/>
              </w:rPr>
            </w:pPr>
            <w:r w:rsidRPr="005A4D2F">
              <w:rPr>
                <w:rFonts w:ascii="Helvetica Neue" w:hAnsi="Helvetica Neue" w:cs="Arial"/>
                <w:i/>
                <w:color w:val="003D7D"/>
                <w:sz w:val="20"/>
              </w:rPr>
              <w:t>reformulate a problem, allowing for the identification of more than one solution</w:t>
            </w:r>
          </w:p>
          <w:p w:rsidR="00704E42" w:rsidRPr="005A4D2F" w:rsidRDefault="00704E42" w:rsidP="0053034B">
            <w:pPr>
              <w:pStyle w:val="ListParagraph"/>
              <w:numPr>
                <w:ilvl w:val="0"/>
                <w:numId w:val="1"/>
              </w:numPr>
              <w:ind w:left="357" w:hanging="357"/>
              <w:contextualSpacing w:val="0"/>
              <w:rPr>
                <w:rFonts w:ascii="Helvetica Neue" w:hAnsi="Helvetica Neue" w:cs="Arial"/>
                <w:i/>
                <w:color w:val="003D7D"/>
                <w:sz w:val="20"/>
              </w:rPr>
            </w:pPr>
            <w:r w:rsidRPr="005A4D2F">
              <w:rPr>
                <w:rFonts w:ascii="Helvetica Neue" w:hAnsi="Helvetica Neue" w:cs="Arial"/>
                <w:i/>
                <w:color w:val="003D7D"/>
                <w:sz w:val="20"/>
              </w:rPr>
              <w:t>ensure the answers/solutions to problems make sense/are feasible.</w:t>
            </w:r>
          </w:p>
          <w:p w:rsidR="00704E42" w:rsidRPr="005A4D2F" w:rsidRDefault="00704E42" w:rsidP="0053034B">
            <w:pPr>
              <w:rPr>
                <w:rFonts w:ascii="Helvetica Neue" w:hAnsi="Helvetica Neue" w:cs="Arial"/>
                <w:color w:val="003D7D"/>
                <w:sz w:val="20"/>
              </w:rPr>
            </w:pPr>
          </w:p>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 xml:space="preserve">Students should also be given the opportunity to solve open-ended problems where more than one solution is apparent from the outset (see </w:t>
            </w:r>
            <w:hyperlink w:anchor="Acc_Criterion_6_Guidance" w:history="1">
              <w:r w:rsidRPr="005A4D2F">
                <w:rPr>
                  <w:rStyle w:val="Hyperlink"/>
                  <w:rFonts w:ascii="Helvetica Neue" w:hAnsi="Helvetica Neue" w:cs="Arial"/>
                  <w:color w:val="003D7D"/>
                  <w:sz w:val="20"/>
                  <w:u w:val="none"/>
                </w:rPr>
                <w:t>criterion six</w:t>
              </w:r>
            </w:hyperlink>
            <w:r w:rsidRPr="005A4D2F">
              <w:rPr>
                <w:rFonts w:ascii="Helvetica Neue" w:hAnsi="Helvetica Neue" w:cs="Arial"/>
                <w:color w:val="003D7D"/>
                <w:sz w:val="20"/>
              </w:rPr>
              <w:t xml:space="preserve"> for further consideration of creative approaches to problem solving). </w:t>
            </w:r>
          </w:p>
          <w:p w:rsidR="00704E42" w:rsidRPr="005A4D2F" w:rsidRDefault="00704E42" w:rsidP="0053034B">
            <w:pPr>
              <w:rPr>
                <w:rFonts w:ascii="Helvetica Neue" w:hAnsi="Helvetica Neue" w:cs="Arial"/>
                <w:color w:val="003D7D"/>
                <w:sz w:val="20"/>
              </w:rPr>
            </w:pPr>
          </w:p>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Problem solving frameworks that can help define and clarify the nature of a problem, and identify a solution, may also be considered. These could include the 5Ws and 1H (Who, What, Where, When, Why, How) tool and the Osborn-</w:t>
            </w:r>
            <w:proofErr w:type="spellStart"/>
            <w:r w:rsidRPr="005A4D2F">
              <w:rPr>
                <w:rFonts w:ascii="Helvetica Neue" w:hAnsi="Helvetica Neue" w:cs="Arial"/>
                <w:color w:val="003D7D"/>
                <w:sz w:val="20"/>
              </w:rPr>
              <w:t>Parnes</w:t>
            </w:r>
            <w:proofErr w:type="spellEnd"/>
            <w:r w:rsidRPr="005A4D2F">
              <w:rPr>
                <w:rFonts w:ascii="Helvetica Neue" w:hAnsi="Helvetica Neue" w:cs="Arial"/>
                <w:color w:val="003D7D"/>
                <w:sz w:val="20"/>
              </w:rPr>
              <w:t xml:space="preserve"> Creative Problem Solving Process. Institutions may wish to make use of these frameworks when developing students’ problem solving skills.</w:t>
            </w:r>
          </w:p>
          <w:p w:rsidR="00704E42" w:rsidRPr="005A4D2F" w:rsidRDefault="00704E42" w:rsidP="0053034B">
            <w:pPr>
              <w:rPr>
                <w:rFonts w:ascii="Helvetica Neue" w:hAnsi="Helvetica Neue" w:cs="Arial"/>
                <w:color w:val="003D7D"/>
                <w:sz w:val="20"/>
              </w:rPr>
            </w:pPr>
          </w:p>
        </w:tc>
      </w:tr>
      <w:tr w:rsidR="00704E42" w:rsidRPr="005A4D2F" w:rsidTr="00704E42">
        <w:trPr>
          <w:jc w:val="center"/>
        </w:trPr>
        <w:tc>
          <w:tcPr>
            <w:tcW w:w="4679" w:type="dxa"/>
          </w:tcPr>
          <w:p w:rsidR="00704E42" w:rsidRPr="005A4D2F" w:rsidRDefault="00704E42" w:rsidP="0053034B">
            <w:pPr>
              <w:rPr>
                <w:rFonts w:ascii="Helvetica Neue" w:hAnsi="Helvetica Neue" w:cs="Arial"/>
                <w:b/>
                <w:color w:val="003D7D"/>
                <w:sz w:val="20"/>
              </w:rPr>
            </w:pPr>
          </w:p>
          <w:p w:rsidR="00704E42" w:rsidRPr="005A4D2F" w:rsidRDefault="00704E42" w:rsidP="0053034B">
            <w:pPr>
              <w:rPr>
                <w:rFonts w:ascii="Helvetica Neue" w:hAnsi="Helvetica Neue" w:cs="Arial"/>
                <w:b/>
                <w:color w:val="003D7D"/>
                <w:sz w:val="20"/>
              </w:rPr>
            </w:pPr>
            <w:r w:rsidRPr="005A4D2F">
              <w:rPr>
                <w:rFonts w:ascii="Helvetica Neue" w:hAnsi="Helvetica Neue" w:cs="Arial"/>
                <w:b/>
                <w:color w:val="003D7D"/>
                <w:sz w:val="20"/>
              </w:rPr>
              <w:t>iv. Students will communicate through both oral and written approaches, and to a range of audiences</w:t>
            </w:r>
          </w:p>
        </w:tc>
        <w:tc>
          <w:tcPr>
            <w:tcW w:w="5580" w:type="dxa"/>
          </w:tcPr>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Institutions should provide evidence that they develop students to communicate effectively through oral a</w:t>
            </w:r>
            <w:r>
              <w:rPr>
                <w:rFonts w:ascii="Helvetica Neue" w:hAnsi="Helvetica Neue" w:cs="Arial"/>
                <w:color w:val="003D7D"/>
                <w:sz w:val="20"/>
              </w:rPr>
              <w:t>nd written presentations. This sh</w:t>
            </w:r>
            <w:r w:rsidRPr="005A4D2F">
              <w:rPr>
                <w:rFonts w:ascii="Helvetica Neue" w:hAnsi="Helvetica Neue" w:cs="Arial"/>
                <w:color w:val="003D7D"/>
                <w:sz w:val="20"/>
              </w:rPr>
              <w:t>ould be formally in</w:t>
            </w:r>
            <w:r>
              <w:rPr>
                <w:rFonts w:ascii="Helvetica Neue" w:hAnsi="Helvetica Neue" w:cs="Arial"/>
                <w:color w:val="003D7D"/>
                <w:sz w:val="20"/>
              </w:rPr>
              <w:t>cluded in</w:t>
            </w:r>
            <w:r w:rsidRPr="005A4D2F">
              <w:rPr>
                <w:rFonts w:ascii="Helvetica Neue" w:hAnsi="Helvetica Neue" w:cs="Arial"/>
                <w:color w:val="003D7D"/>
                <w:sz w:val="20"/>
              </w:rPr>
              <w:t xml:space="preserve"> the programme </w:t>
            </w:r>
            <w:r>
              <w:rPr>
                <w:rFonts w:ascii="Helvetica Neue" w:hAnsi="Helvetica Neue" w:cs="Arial"/>
                <w:color w:val="003D7D"/>
                <w:sz w:val="20"/>
              </w:rPr>
              <w:t>(</w:t>
            </w:r>
            <w:r w:rsidRPr="005A4D2F">
              <w:rPr>
                <w:rFonts w:ascii="Helvetica Neue" w:hAnsi="Helvetica Neue" w:cs="Arial"/>
                <w:color w:val="003D7D"/>
                <w:sz w:val="20"/>
              </w:rPr>
              <w:t xml:space="preserve">and </w:t>
            </w:r>
            <w:r>
              <w:rPr>
                <w:rFonts w:ascii="Helvetica Neue" w:hAnsi="Helvetica Neue" w:cs="Arial"/>
                <w:color w:val="003D7D"/>
                <w:sz w:val="20"/>
              </w:rPr>
              <w:t xml:space="preserve">as appropriate, supported </w:t>
            </w:r>
            <w:r w:rsidRPr="005A4D2F">
              <w:rPr>
                <w:rFonts w:ascii="Helvetica Neue" w:hAnsi="Helvetica Neue" w:cs="Arial"/>
                <w:color w:val="003D7D"/>
                <w:sz w:val="20"/>
              </w:rPr>
              <w:t>less formally through outreach or presentatio</w:t>
            </w:r>
            <w:r>
              <w:rPr>
                <w:rFonts w:ascii="Helvetica Neue" w:hAnsi="Helvetica Neue" w:cs="Arial"/>
                <w:color w:val="003D7D"/>
                <w:sz w:val="20"/>
              </w:rPr>
              <w:t>ns to, for instance,</w:t>
            </w:r>
            <w:r w:rsidRPr="005A4D2F">
              <w:rPr>
                <w:rFonts w:ascii="Helvetica Neue" w:hAnsi="Helvetica Neue" w:cs="Arial"/>
                <w:color w:val="003D7D"/>
                <w:sz w:val="20"/>
              </w:rPr>
              <w:t xml:space="preserve"> student-led societies</w:t>
            </w:r>
            <w:r>
              <w:rPr>
                <w:rFonts w:ascii="Helvetica Neue" w:hAnsi="Helvetica Neue" w:cs="Arial"/>
                <w:color w:val="003D7D"/>
                <w:sz w:val="20"/>
              </w:rPr>
              <w:t>)</w:t>
            </w:r>
            <w:r w:rsidRPr="005A4D2F">
              <w:rPr>
                <w:rFonts w:ascii="Helvetica Neue" w:hAnsi="Helvetica Neue" w:cs="Arial"/>
                <w:color w:val="003D7D"/>
                <w:sz w:val="20"/>
              </w:rPr>
              <w:t>.</w:t>
            </w:r>
          </w:p>
          <w:p w:rsidR="00704E42" w:rsidRPr="005A4D2F" w:rsidRDefault="00704E42" w:rsidP="0053034B">
            <w:pPr>
              <w:rPr>
                <w:rFonts w:ascii="Helvetica Neue" w:hAnsi="Helvetica Neue" w:cs="Arial"/>
                <w:color w:val="003D7D"/>
                <w:sz w:val="20"/>
              </w:rPr>
            </w:pPr>
          </w:p>
        </w:tc>
      </w:tr>
      <w:tr w:rsidR="00704E42" w:rsidRPr="005A4D2F" w:rsidTr="00704E42">
        <w:trPr>
          <w:jc w:val="center"/>
        </w:trPr>
        <w:tc>
          <w:tcPr>
            <w:tcW w:w="4679" w:type="dxa"/>
          </w:tcPr>
          <w:p w:rsidR="00704E42" w:rsidRPr="005A4D2F" w:rsidRDefault="00704E42" w:rsidP="0053034B">
            <w:pPr>
              <w:rPr>
                <w:rFonts w:ascii="Helvetica Neue" w:hAnsi="Helvetica Neue" w:cs="Arial"/>
                <w:b/>
                <w:color w:val="003D7D"/>
                <w:sz w:val="20"/>
              </w:rPr>
            </w:pPr>
          </w:p>
          <w:p w:rsidR="00704E42" w:rsidRPr="005A4D2F" w:rsidRDefault="00704E42" w:rsidP="0053034B">
            <w:pPr>
              <w:rPr>
                <w:rFonts w:ascii="Helvetica Neue" w:hAnsi="Helvetica Neue" w:cs="Arial"/>
                <w:b/>
                <w:color w:val="003D7D"/>
                <w:sz w:val="20"/>
              </w:rPr>
            </w:pPr>
            <w:r w:rsidRPr="005A4D2F">
              <w:rPr>
                <w:rFonts w:ascii="Helvetica Neue" w:hAnsi="Helvetica Neue" w:cs="Arial"/>
                <w:b/>
                <w:color w:val="003D7D"/>
                <w:sz w:val="20"/>
              </w:rPr>
              <w:t xml:space="preserve">v. Graduates will be experienced in teamwork approaches, including the concepts of leadership; the recognition of individual contributions; and the significance of group dynamics to effective </w:t>
            </w:r>
            <w:proofErr w:type="spellStart"/>
            <w:r w:rsidRPr="005A4D2F">
              <w:rPr>
                <w:rFonts w:ascii="Helvetica Neue" w:hAnsi="Helvetica Neue" w:cs="Arial"/>
                <w:b/>
                <w:color w:val="003D7D"/>
                <w:sz w:val="20"/>
              </w:rPr>
              <w:t>teamworking</w:t>
            </w:r>
            <w:proofErr w:type="spellEnd"/>
          </w:p>
        </w:tc>
        <w:tc>
          <w:tcPr>
            <w:tcW w:w="5580" w:type="dxa"/>
          </w:tcPr>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 xml:space="preserve">Teamwork can be particularly valuable with diverse teams, where each member may have a different background and therefore a distinct perspective on problems to be solved. </w:t>
            </w:r>
          </w:p>
          <w:p w:rsidR="00704E42" w:rsidRPr="005A4D2F" w:rsidRDefault="00704E42" w:rsidP="0053034B">
            <w:pPr>
              <w:rPr>
                <w:rFonts w:ascii="Helvetica Neue" w:hAnsi="Helvetica Neue" w:cs="Arial"/>
                <w:color w:val="003D7D"/>
                <w:sz w:val="20"/>
              </w:rPr>
            </w:pPr>
          </w:p>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 xml:space="preserve">Providing a curriculum framework in which teamwork and leadership skills are developed is a vital recognition of their importance. </w:t>
            </w:r>
            <w:r w:rsidRPr="005A4D2F">
              <w:rPr>
                <w:rFonts w:ascii="Helvetica Neue" w:hAnsi="Helvetica Neue" w:cs="Arial"/>
                <w:b/>
                <w:color w:val="003D7D"/>
                <w:sz w:val="20"/>
              </w:rPr>
              <w:t>HEIs must show where they teach the principles of teamwork, and how they implement those principles</w:t>
            </w:r>
            <w:r w:rsidRPr="005A4D2F">
              <w:rPr>
                <w:rFonts w:ascii="Helvetica Neue" w:hAnsi="Helvetica Neue" w:cs="Arial"/>
                <w:color w:val="003D7D"/>
                <w:sz w:val="20"/>
              </w:rPr>
              <w:t xml:space="preserve">: it is not enough to say that 'students work in pairs/groups', if those students have no understanding of the benefits and challenges of working as part of a team. Students’ understanding of teamwork should include the question of </w:t>
            </w:r>
            <w:proofErr w:type="spellStart"/>
            <w:r w:rsidRPr="005A4D2F">
              <w:rPr>
                <w:rFonts w:ascii="Helvetica Neue" w:hAnsi="Helvetica Neue" w:cs="Arial"/>
                <w:color w:val="003D7D"/>
                <w:sz w:val="20"/>
              </w:rPr>
              <w:t>interdisciplinarity</w:t>
            </w:r>
            <w:proofErr w:type="spellEnd"/>
            <w:r w:rsidRPr="005A4D2F">
              <w:rPr>
                <w:rFonts w:ascii="Helvetica Neue" w:hAnsi="Helvetica Neue" w:cs="Arial"/>
                <w:color w:val="003D7D"/>
                <w:sz w:val="20"/>
              </w:rPr>
              <w:t>, where teams with different skills and knowledge come together to solve a problem (</w:t>
            </w:r>
            <w:r w:rsidRPr="005A4D2F">
              <w:rPr>
                <w:rFonts w:ascii="Helvetica Neue" w:hAnsi="Helvetica Neue" w:cs="Arial"/>
                <w:i/>
                <w:color w:val="003D7D"/>
                <w:sz w:val="20"/>
              </w:rPr>
              <w:t xml:space="preserve">see </w:t>
            </w:r>
            <w:hyperlink w:anchor="Acc_Criterion_6_Guidance" w:history="1">
              <w:r w:rsidRPr="005A4D2F">
                <w:rPr>
                  <w:rStyle w:val="Hyperlink"/>
                  <w:rFonts w:ascii="Helvetica Neue" w:hAnsi="Helvetica Neue" w:cs="Arial"/>
                  <w:i/>
                  <w:color w:val="003D7D"/>
                  <w:sz w:val="20"/>
                  <w:u w:val="none"/>
                </w:rPr>
                <w:t>criterion six</w:t>
              </w:r>
            </w:hyperlink>
            <w:r w:rsidRPr="005A4D2F">
              <w:rPr>
                <w:rFonts w:ascii="Helvetica Neue" w:hAnsi="Helvetica Neue" w:cs="Arial"/>
                <w:color w:val="003D7D"/>
                <w:sz w:val="20"/>
              </w:rPr>
              <w:t>).</w:t>
            </w:r>
          </w:p>
          <w:p w:rsidR="00704E42" w:rsidRPr="005A4D2F" w:rsidRDefault="00704E42" w:rsidP="0053034B">
            <w:pPr>
              <w:rPr>
                <w:rFonts w:ascii="Helvetica Neue" w:hAnsi="Helvetica Neue" w:cs="Arial"/>
                <w:color w:val="003D7D"/>
                <w:sz w:val="20"/>
              </w:rPr>
            </w:pPr>
          </w:p>
        </w:tc>
      </w:tr>
      <w:tr w:rsidR="00704E42" w:rsidRPr="005A4D2F" w:rsidTr="00704E42">
        <w:trPr>
          <w:jc w:val="center"/>
        </w:trPr>
        <w:tc>
          <w:tcPr>
            <w:tcW w:w="4679" w:type="dxa"/>
          </w:tcPr>
          <w:p w:rsidR="00704E42" w:rsidRPr="005A4D2F" w:rsidRDefault="00704E42" w:rsidP="0053034B">
            <w:pPr>
              <w:rPr>
                <w:rFonts w:ascii="Helvetica Neue" w:eastAsia="Times New Roman" w:hAnsi="Helvetica Neue" w:cs="Times New Roman"/>
                <w:b/>
                <w:color w:val="003D7D"/>
                <w:sz w:val="20"/>
                <w:szCs w:val="20"/>
                <w:lang w:eastAsia="en-GB"/>
              </w:rPr>
            </w:pPr>
          </w:p>
          <w:p w:rsidR="00704E42" w:rsidRPr="005A4D2F" w:rsidRDefault="00704E42" w:rsidP="0053034B">
            <w:pPr>
              <w:rPr>
                <w:rFonts w:ascii="Helvetica Neue" w:hAnsi="Helvetica Neue" w:cs="Arial"/>
                <w:b/>
                <w:color w:val="003D7D"/>
                <w:sz w:val="20"/>
              </w:rPr>
            </w:pPr>
            <w:r w:rsidRPr="005A4D2F">
              <w:rPr>
                <w:rFonts w:ascii="Helvetica Neue" w:eastAsia="Times New Roman" w:hAnsi="Helvetica Neue" w:cs="Times New Roman"/>
                <w:b/>
                <w:color w:val="003D7D"/>
                <w:sz w:val="20"/>
                <w:szCs w:val="20"/>
                <w:lang w:eastAsia="en-GB"/>
              </w:rPr>
              <w:t>vi.</w:t>
            </w:r>
            <w:r w:rsidRPr="005A4D2F">
              <w:rPr>
                <w:rFonts w:ascii="Times New Roman" w:eastAsia="Times New Roman" w:hAnsi="Times New Roman" w:cs="Times New Roman"/>
                <w:b/>
                <w:color w:val="003D7D"/>
                <w:sz w:val="14"/>
                <w:szCs w:val="14"/>
                <w:lang w:eastAsia="en-GB"/>
              </w:rPr>
              <w:t xml:space="preserve"> </w:t>
            </w:r>
            <w:r w:rsidRPr="005A4D2F">
              <w:rPr>
                <w:rFonts w:ascii="Helvetica Neue" w:eastAsia="Times New Roman" w:hAnsi="Helvetica Neue" w:cs="Times New Roman"/>
                <w:b/>
                <w:color w:val="003D7D"/>
                <w:sz w:val="20"/>
                <w:szCs w:val="20"/>
                <w:lang w:eastAsia="en-GB"/>
              </w:rPr>
              <w:t>There will be evidence of acquisition of general management skills including project management</w:t>
            </w:r>
          </w:p>
        </w:tc>
        <w:tc>
          <w:tcPr>
            <w:tcW w:w="5580" w:type="dxa"/>
          </w:tcPr>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 xml:space="preserve">There should be reference to these skills in learning outcomes of specified modules where it is a significant feature (e.g. where students plan and/or cost a piece of work). This framework should include the development of time management, organisation and interpersonal skills, including the use of milestones. </w:t>
            </w:r>
            <w:r w:rsidRPr="005A4D2F">
              <w:rPr>
                <w:rFonts w:ascii="Helvetica Neue" w:hAnsi="Helvetica Neue" w:cs="Arial"/>
                <w:i/>
                <w:color w:val="003D7D"/>
                <w:sz w:val="20"/>
              </w:rPr>
              <w:t xml:space="preserve">This may be cross-referred to the learning points in </w:t>
            </w:r>
            <w:hyperlink w:anchor="Acc_Criterion_6_Guidance" w:history="1">
              <w:r w:rsidRPr="005A4D2F">
                <w:rPr>
                  <w:rStyle w:val="Hyperlink"/>
                  <w:rFonts w:ascii="Helvetica Neue" w:hAnsi="Helvetica Neue" w:cs="Arial"/>
                  <w:i/>
                  <w:color w:val="003D7D"/>
                  <w:sz w:val="20"/>
                  <w:u w:val="none"/>
                </w:rPr>
                <w:t>criterion six</w:t>
              </w:r>
            </w:hyperlink>
            <w:r w:rsidRPr="005A4D2F">
              <w:rPr>
                <w:rFonts w:ascii="Helvetica Neue" w:hAnsi="Helvetica Neue" w:cs="Arial"/>
                <w:color w:val="003D7D"/>
                <w:sz w:val="20"/>
              </w:rPr>
              <w:t>.</w:t>
            </w:r>
          </w:p>
          <w:p w:rsidR="00704E42" w:rsidRPr="005A4D2F" w:rsidRDefault="00704E42" w:rsidP="0053034B">
            <w:pPr>
              <w:rPr>
                <w:rFonts w:ascii="Helvetica Neue" w:hAnsi="Helvetica Neue" w:cs="Arial"/>
                <w:color w:val="003D7D"/>
                <w:sz w:val="20"/>
              </w:rPr>
            </w:pPr>
          </w:p>
        </w:tc>
      </w:tr>
      <w:tr w:rsidR="00704E42" w:rsidRPr="005A4D2F" w:rsidTr="00704E42">
        <w:trPr>
          <w:jc w:val="center"/>
        </w:trPr>
        <w:tc>
          <w:tcPr>
            <w:tcW w:w="4679" w:type="dxa"/>
          </w:tcPr>
          <w:p w:rsidR="00704E42" w:rsidRPr="005A4D2F" w:rsidRDefault="00704E42" w:rsidP="0053034B">
            <w:pPr>
              <w:rPr>
                <w:rFonts w:ascii="Helvetica Neue" w:hAnsi="Helvetica Neue" w:cs="Arial"/>
                <w:b/>
                <w:color w:val="003D7D"/>
                <w:sz w:val="20"/>
              </w:rPr>
            </w:pPr>
          </w:p>
          <w:p w:rsidR="00704E42" w:rsidRPr="005A4D2F" w:rsidRDefault="00704E42" w:rsidP="0053034B">
            <w:pPr>
              <w:rPr>
                <w:rFonts w:ascii="Helvetica Neue" w:eastAsia="Times New Roman" w:hAnsi="Helvetica Neue" w:cs="Times New Roman"/>
                <w:b/>
                <w:color w:val="003D7D"/>
                <w:sz w:val="20"/>
                <w:szCs w:val="20"/>
                <w:lang w:eastAsia="en-GB"/>
              </w:rPr>
            </w:pPr>
            <w:r w:rsidRPr="005A4D2F">
              <w:rPr>
                <w:rFonts w:ascii="Helvetica Neue" w:hAnsi="Helvetica Neue" w:cs="Arial"/>
                <w:b/>
                <w:color w:val="003D7D"/>
                <w:sz w:val="20"/>
              </w:rPr>
              <w:t>vii. Regulatory and ethical issues, including environmental and social aspects, are considered and addressed by students at appropriate times throughout their programme of study</w:t>
            </w:r>
          </w:p>
        </w:tc>
        <w:tc>
          <w:tcPr>
            <w:tcW w:w="5580" w:type="dxa"/>
          </w:tcPr>
          <w:p w:rsidR="00704E42" w:rsidRPr="005A4D2F" w:rsidRDefault="00704E42" w:rsidP="0053034B">
            <w:pPr>
              <w:rPr>
                <w:rFonts w:ascii="Helvetica Neue" w:hAnsi="Helvetica Neue" w:cs="Arial"/>
                <w:color w:val="003D7D"/>
                <w:sz w:val="20"/>
              </w:rPr>
            </w:pPr>
            <w:r w:rsidRPr="005A4D2F">
              <w:rPr>
                <w:rFonts w:ascii="Helvetica Neue" w:hAnsi="Helvetica Neue" w:cs="Arial"/>
                <w:color w:val="003D7D"/>
                <w:sz w:val="20"/>
              </w:rPr>
              <w:t xml:space="preserve">Student exposure to and understanding of ethical issues regarding experimentation and its regulation, and more broadly in their discipline, provides the necessary appreciation needed for certain types of research, particularly those dealing with animals, humans and </w:t>
            </w:r>
            <w:r w:rsidRPr="0026604C">
              <w:rPr>
                <w:rFonts w:ascii="Helvetica Neue" w:hAnsi="Helvetica Neue" w:cs="Arial"/>
                <w:color w:val="003D7D"/>
                <w:sz w:val="20"/>
              </w:rPr>
              <w:t>environment</w:t>
            </w:r>
            <w:r>
              <w:rPr>
                <w:rFonts w:ascii="Helvetica Neue" w:hAnsi="Helvetica Neue" w:cs="Arial"/>
                <w:color w:val="003D7D"/>
                <w:sz w:val="20"/>
              </w:rPr>
              <w:t>al issues</w:t>
            </w:r>
            <w:r w:rsidRPr="005A4D2F">
              <w:rPr>
                <w:rFonts w:ascii="Helvetica Neue" w:hAnsi="Helvetica Neue" w:cs="Arial"/>
                <w:color w:val="003D7D"/>
                <w:sz w:val="20"/>
              </w:rPr>
              <w:t xml:space="preserve">. The study of ethics, including reflection and discussion, helps students to develop widely applicable skills in communication, reasoning and reflection, as well as an understanding of why codes of conduct exist, and how that should affect their work as a professional in science. </w:t>
            </w:r>
          </w:p>
          <w:p w:rsidR="00704E42" w:rsidRPr="005A4D2F" w:rsidRDefault="00704E42" w:rsidP="0053034B">
            <w:pPr>
              <w:rPr>
                <w:rFonts w:ascii="Helvetica Neue" w:hAnsi="Helvetica Neue" w:cs="Arial"/>
                <w:color w:val="003D7D"/>
                <w:sz w:val="20"/>
              </w:rPr>
            </w:pPr>
          </w:p>
          <w:p w:rsidR="00704E42" w:rsidRPr="005A4D2F" w:rsidRDefault="00704E42" w:rsidP="00FC0BA9">
            <w:pPr>
              <w:rPr>
                <w:rFonts w:ascii="Helvetica Neue" w:hAnsi="Helvetica Neue" w:cs="Arial"/>
                <w:color w:val="003D7D"/>
                <w:sz w:val="20"/>
              </w:rPr>
            </w:pPr>
            <w:r w:rsidRPr="005A4D2F">
              <w:rPr>
                <w:rFonts w:ascii="Helvetica Neue" w:hAnsi="Helvetica Neue" w:cs="Arial"/>
                <w:color w:val="003D7D"/>
                <w:sz w:val="20"/>
              </w:rPr>
              <w:t xml:space="preserve">As stated in </w:t>
            </w:r>
            <w:hyperlink w:anchor="Acc_Criterion_1_Guidance" w:history="1">
              <w:r w:rsidRPr="005A4D2F">
                <w:rPr>
                  <w:rStyle w:val="Hyperlink"/>
                  <w:rFonts w:ascii="Helvetica Neue" w:hAnsi="Helvetica Neue" w:cs="Arial"/>
                  <w:color w:val="003D7D"/>
                  <w:sz w:val="20"/>
                  <w:u w:val="none"/>
                </w:rPr>
                <w:t>criterion one</w:t>
              </w:r>
            </w:hyperlink>
            <w:r w:rsidRPr="005A4D2F">
              <w:rPr>
                <w:rFonts w:ascii="Helvetica Neue" w:hAnsi="Helvetica Neue" w:cs="Arial"/>
                <w:color w:val="003D7D"/>
                <w:sz w:val="20"/>
              </w:rPr>
              <w:t>, HEIs need to be clear about the difference between the institution’s responsibilities in securing ethical approval and meeting legal requirements around health and safety and the learning, teaching and assessment of students’ knowledge of these aspects within a programme.</w:t>
            </w:r>
          </w:p>
        </w:tc>
      </w:tr>
    </w:tbl>
    <w:p w:rsidR="00704E42" w:rsidRPr="005A4D2F" w:rsidRDefault="00704E42" w:rsidP="00704E42">
      <w:pPr>
        <w:spacing w:after="0" w:line="240" w:lineRule="auto"/>
      </w:pPr>
    </w:p>
    <w:tbl>
      <w:tblPr>
        <w:tblStyle w:val="TableGrid"/>
        <w:tblW w:w="9920" w:type="dxa"/>
        <w:jc w:val="center"/>
        <w:tblBorders>
          <w:top w:val="single" w:sz="2" w:space="0" w:color="48A942"/>
          <w:left w:val="single" w:sz="2" w:space="0" w:color="48A942"/>
          <w:bottom w:val="single" w:sz="2" w:space="0" w:color="48A942"/>
          <w:right w:val="single" w:sz="2" w:space="0" w:color="48A942"/>
          <w:insideH w:val="single" w:sz="2" w:space="0" w:color="48A942"/>
          <w:insideV w:val="single" w:sz="2" w:space="0" w:color="48A942"/>
        </w:tblBorders>
        <w:tblLook w:val="04A0" w:firstRow="1" w:lastRow="0" w:firstColumn="1" w:lastColumn="0" w:noHBand="0" w:noVBand="1"/>
      </w:tblPr>
      <w:tblGrid>
        <w:gridCol w:w="4392"/>
        <w:gridCol w:w="5528"/>
      </w:tblGrid>
      <w:tr w:rsidR="00704E42" w:rsidRPr="005A4D2F" w:rsidTr="00D54FCE">
        <w:trPr>
          <w:jc w:val="center"/>
        </w:trPr>
        <w:tc>
          <w:tcPr>
            <w:tcW w:w="9920" w:type="dxa"/>
            <w:gridSpan w:val="2"/>
          </w:tcPr>
          <w:p w:rsidR="00704E42" w:rsidRDefault="00704E42" w:rsidP="0053034B">
            <w:pPr>
              <w:keepLines/>
              <w:rPr>
                <w:rFonts w:ascii="Helvetica Neue" w:hAnsi="Helvetica Neue" w:cs="Arial"/>
                <w:b/>
                <w:color w:val="003D7D"/>
                <w:sz w:val="20"/>
              </w:rPr>
            </w:pPr>
          </w:p>
          <w:p w:rsidR="00704E42" w:rsidRPr="005A4D2F" w:rsidRDefault="00704E42" w:rsidP="00704E42">
            <w:pPr>
              <w:keepLines/>
              <w:rPr>
                <w:rFonts w:ascii="Helvetica Neue" w:hAnsi="Helvetica Neue" w:cs="Arial"/>
                <w:b/>
                <w:color w:val="48A942"/>
                <w:sz w:val="20"/>
              </w:rPr>
            </w:pPr>
            <w:bookmarkStart w:id="3" w:name="Acc_Criterion_4_Guidance"/>
            <w:r w:rsidRPr="005A4D2F">
              <w:rPr>
                <w:rFonts w:ascii="Helvetica Neue" w:hAnsi="Helvetica Neue" w:cs="Arial"/>
                <w:b/>
                <w:color w:val="48A942"/>
                <w:sz w:val="20"/>
              </w:rPr>
              <w:t xml:space="preserve">4. A foundation in mathematics, statistics, chemistry and physics within a biological context appropriate to the discipline </w:t>
            </w:r>
          </w:p>
          <w:bookmarkEnd w:id="3"/>
          <w:p w:rsidR="00704E42" w:rsidRPr="005A4D2F" w:rsidRDefault="00704E42" w:rsidP="00704E42">
            <w:pPr>
              <w:keepLines/>
              <w:rPr>
                <w:rFonts w:ascii="Helvetica Neue" w:hAnsi="Helvetica Neue" w:cs="Arial"/>
                <w:b/>
                <w:color w:val="48A942"/>
                <w:sz w:val="20"/>
              </w:rPr>
            </w:pPr>
          </w:p>
          <w:p w:rsidR="00704E42" w:rsidRDefault="00704E42" w:rsidP="00704E42">
            <w:pPr>
              <w:keepLines/>
              <w:rPr>
                <w:rFonts w:ascii="Helvetica Neue" w:hAnsi="Helvetica Neue" w:cs="Arial"/>
                <w:b/>
                <w:color w:val="003D7D"/>
                <w:sz w:val="20"/>
              </w:rPr>
            </w:pPr>
            <w:r w:rsidRPr="005A4D2F">
              <w:rPr>
                <w:rFonts w:ascii="Helvetica Neue" w:hAnsi="Helvetica Neue" w:cs="Arial"/>
                <w:color w:val="003D7D"/>
                <w:sz w:val="20"/>
              </w:rPr>
              <w:t>At a basic level, all bioscience degrees should integrate mathematics, statistics, chemistry and physics to the extent that knowledge and understanding of science principles governing current techniques and concepts should be embedded within the curriculum.</w:t>
            </w:r>
          </w:p>
          <w:p w:rsidR="00704E42" w:rsidRPr="005A4D2F" w:rsidRDefault="00704E42" w:rsidP="0053034B">
            <w:pPr>
              <w:keepLines/>
              <w:rPr>
                <w:rFonts w:ascii="Helvetica Neue" w:hAnsi="Helvetica Neue" w:cs="Arial"/>
                <w:b/>
                <w:color w:val="003D7D"/>
                <w:sz w:val="20"/>
              </w:rPr>
            </w:pPr>
          </w:p>
        </w:tc>
      </w:tr>
      <w:tr w:rsidR="00704E42" w:rsidRPr="005A4D2F" w:rsidTr="00704E42">
        <w:trPr>
          <w:jc w:val="center"/>
        </w:trPr>
        <w:tc>
          <w:tcPr>
            <w:tcW w:w="4392" w:type="dxa"/>
          </w:tcPr>
          <w:p w:rsidR="00704E42" w:rsidRPr="005A4D2F" w:rsidRDefault="00704E42" w:rsidP="0053034B">
            <w:pPr>
              <w:keepLines/>
              <w:rPr>
                <w:rFonts w:ascii="Helvetica Neue" w:hAnsi="Helvetica Neue" w:cs="Arial"/>
                <w:b/>
                <w:color w:val="003D7D"/>
                <w:sz w:val="20"/>
              </w:rPr>
            </w:pPr>
          </w:p>
          <w:p w:rsidR="00704E42" w:rsidRPr="005A4D2F" w:rsidRDefault="00704E42" w:rsidP="0053034B">
            <w:pPr>
              <w:keepLines/>
              <w:rPr>
                <w:rFonts w:ascii="Helvetica Neue" w:hAnsi="Helvetica Neue" w:cs="Arial"/>
                <w:b/>
                <w:color w:val="003D7D"/>
                <w:sz w:val="20"/>
              </w:rPr>
            </w:pPr>
            <w:r w:rsidRPr="005A4D2F">
              <w:rPr>
                <w:rFonts w:ascii="Helvetica Neue" w:hAnsi="Helvetica Neue" w:cs="Arial"/>
                <w:b/>
                <w:color w:val="003D7D"/>
                <w:sz w:val="20"/>
              </w:rPr>
              <w:t xml:space="preserve">Attributes </w:t>
            </w:r>
          </w:p>
          <w:p w:rsidR="00704E42" w:rsidRPr="005A4D2F" w:rsidRDefault="00704E42" w:rsidP="0053034B">
            <w:pPr>
              <w:keepLines/>
              <w:rPr>
                <w:rFonts w:ascii="Helvetica Neue" w:hAnsi="Helvetica Neue" w:cs="Arial"/>
                <w:b/>
                <w:color w:val="003D7D"/>
                <w:sz w:val="20"/>
              </w:rPr>
            </w:pPr>
          </w:p>
        </w:tc>
        <w:tc>
          <w:tcPr>
            <w:tcW w:w="5528" w:type="dxa"/>
          </w:tcPr>
          <w:p w:rsidR="00704E42" w:rsidRPr="005A4D2F" w:rsidRDefault="00704E42" w:rsidP="0053034B">
            <w:pPr>
              <w:keepLines/>
              <w:rPr>
                <w:rFonts w:ascii="Helvetica Neue" w:hAnsi="Helvetica Neue" w:cs="Arial"/>
                <w:b/>
                <w:color w:val="003D7D"/>
                <w:sz w:val="20"/>
              </w:rPr>
            </w:pPr>
          </w:p>
          <w:p w:rsidR="00704E42" w:rsidRPr="005A4D2F" w:rsidRDefault="00704E42" w:rsidP="0053034B">
            <w:pPr>
              <w:keepLines/>
              <w:rPr>
                <w:rFonts w:ascii="Helvetica Neue" w:hAnsi="Helvetica Neue" w:cs="Arial"/>
                <w:color w:val="003D7D"/>
                <w:sz w:val="20"/>
              </w:rPr>
            </w:pPr>
            <w:r w:rsidRPr="005A4D2F">
              <w:rPr>
                <w:rFonts w:ascii="Helvetica Neue" w:hAnsi="Helvetica Neue" w:cs="Arial"/>
                <w:b/>
                <w:color w:val="003D7D"/>
                <w:sz w:val="20"/>
              </w:rPr>
              <w:t>Notes</w:t>
            </w:r>
          </w:p>
        </w:tc>
      </w:tr>
      <w:tr w:rsidR="00704E42" w:rsidRPr="005A4D2F" w:rsidTr="00704E42">
        <w:trPr>
          <w:jc w:val="center"/>
        </w:trPr>
        <w:tc>
          <w:tcPr>
            <w:tcW w:w="4392" w:type="dxa"/>
          </w:tcPr>
          <w:p w:rsidR="00704E42" w:rsidRPr="005A4D2F" w:rsidRDefault="00704E42" w:rsidP="0053034B">
            <w:pPr>
              <w:keepLines/>
              <w:rPr>
                <w:rFonts w:ascii="Helvetica Neue" w:hAnsi="Helvetica Neue" w:cs="Arial"/>
                <w:b/>
                <w:color w:val="003D7D"/>
                <w:sz w:val="20"/>
              </w:rPr>
            </w:pPr>
          </w:p>
          <w:p w:rsidR="00704E42" w:rsidRPr="005A4D2F" w:rsidRDefault="00704E42" w:rsidP="0053034B">
            <w:pPr>
              <w:keepLines/>
              <w:rPr>
                <w:rFonts w:ascii="Helvetica Neue" w:hAnsi="Helvetica Neue" w:cs="Arial"/>
                <w:b/>
                <w:color w:val="003D7D"/>
                <w:sz w:val="20"/>
              </w:rPr>
            </w:pPr>
            <w:proofErr w:type="spellStart"/>
            <w:r w:rsidRPr="005A4D2F">
              <w:rPr>
                <w:rFonts w:ascii="Helvetica Neue" w:hAnsi="Helvetica Neue" w:cs="Arial"/>
                <w:b/>
                <w:color w:val="003D7D"/>
                <w:sz w:val="20"/>
              </w:rPr>
              <w:t>i</w:t>
            </w:r>
            <w:proofErr w:type="spellEnd"/>
            <w:r w:rsidRPr="005A4D2F">
              <w:rPr>
                <w:rFonts w:ascii="Helvetica Neue" w:hAnsi="Helvetica Neue" w:cs="Arial"/>
                <w:b/>
                <w:color w:val="003D7D"/>
                <w:sz w:val="20"/>
              </w:rPr>
              <w:t>. The coverage of chemistry and physics should be of sufficient depth and breadth to provide the necessary knowledge and understanding for students to appreciate and apply these subjects within a biological context</w:t>
            </w:r>
          </w:p>
          <w:p w:rsidR="00704E42" w:rsidRPr="005A4D2F" w:rsidRDefault="00704E42" w:rsidP="0053034B">
            <w:pPr>
              <w:keepLines/>
              <w:rPr>
                <w:rFonts w:ascii="Helvetica Neue" w:hAnsi="Helvetica Neue" w:cs="Arial"/>
                <w:b/>
                <w:color w:val="003D7D"/>
                <w:sz w:val="20"/>
              </w:rPr>
            </w:pPr>
          </w:p>
        </w:tc>
        <w:tc>
          <w:tcPr>
            <w:tcW w:w="5528" w:type="dxa"/>
          </w:tcPr>
          <w:p w:rsidR="00704E42" w:rsidRPr="005A4D2F" w:rsidRDefault="00704E42" w:rsidP="0053034B">
            <w:pPr>
              <w:keepLines/>
              <w:rPr>
                <w:rFonts w:ascii="Helvetica Neue" w:hAnsi="Helvetica Neue" w:cs="Arial"/>
                <w:color w:val="003D7D"/>
                <w:sz w:val="20"/>
              </w:rPr>
            </w:pPr>
            <w:r w:rsidRPr="005A4D2F">
              <w:rPr>
                <w:rFonts w:ascii="Helvetica Neue" w:hAnsi="Helvetica Neue" w:cs="Arial"/>
                <w:color w:val="003D7D"/>
                <w:sz w:val="20"/>
              </w:rPr>
              <w:t>The biological sciences sit on a foundation of physical and mathematical sciences. It is appropriate that the integration of mathematics, chemistry and physics be taught within a biological context. In this way, these subjects can be embedded within the curriculum as part of the learning developmental cycle that is relevant to specific bioscience disciplines. The use of molecular techniques in all areas of biology necessitates the need for chemistry to be included in the curriculum of all bioscience degrees.</w:t>
            </w:r>
          </w:p>
          <w:p w:rsidR="00704E42" w:rsidRPr="005A4D2F" w:rsidRDefault="00704E42" w:rsidP="0053034B">
            <w:pPr>
              <w:keepLines/>
              <w:rPr>
                <w:rFonts w:ascii="Helvetica Neue" w:hAnsi="Helvetica Neue" w:cs="Arial"/>
                <w:color w:val="003D7D"/>
                <w:sz w:val="20"/>
              </w:rPr>
            </w:pPr>
          </w:p>
          <w:p w:rsidR="00704E42" w:rsidRPr="005A4D2F" w:rsidRDefault="00704E42" w:rsidP="0053034B">
            <w:pPr>
              <w:keepLines/>
              <w:rPr>
                <w:rFonts w:ascii="Helvetica Neue" w:hAnsi="Helvetica Neue" w:cs="Arial"/>
                <w:color w:val="003D7D"/>
                <w:sz w:val="20"/>
              </w:rPr>
            </w:pPr>
            <w:r w:rsidRPr="005A4D2F">
              <w:rPr>
                <w:rFonts w:ascii="Helvetica Neue" w:hAnsi="Helvetica Neue" w:cs="Arial"/>
                <w:color w:val="003D7D"/>
                <w:sz w:val="20"/>
              </w:rPr>
              <w:t>Contextual understanding should be demonstrated through the integration of these physical sciences with the biological curriculum, as appropriate. The curriculum should highlight, via learning outcomes, where interdisciplinary science knowledge and understanding is fundamental to future developments within specific fields. The extent to which this is covered will depend upon the discipline. However, a bioscience graduate should be able to prepare solutions at known concentrations, understand the concepts of molar, molarity and molality, and manipulate solutions, as well as understand the nature and application of buffers.</w:t>
            </w:r>
          </w:p>
          <w:p w:rsidR="00704E42" w:rsidRPr="005A4D2F" w:rsidRDefault="00704E42" w:rsidP="0053034B">
            <w:pPr>
              <w:keepLines/>
              <w:rPr>
                <w:rFonts w:ascii="Helvetica Neue" w:hAnsi="Helvetica Neue" w:cs="Arial"/>
                <w:color w:val="003D7D"/>
                <w:sz w:val="20"/>
              </w:rPr>
            </w:pPr>
          </w:p>
        </w:tc>
      </w:tr>
      <w:tr w:rsidR="00704E42" w:rsidRPr="005A4D2F" w:rsidTr="00704E42">
        <w:trPr>
          <w:jc w:val="center"/>
        </w:trPr>
        <w:tc>
          <w:tcPr>
            <w:tcW w:w="4392" w:type="dxa"/>
          </w:tcPr>
          <w:p w:rsidR="00704E42" w:rsidRPr="005A4D2F" w:rsidRDefault="00704E42" w:rsidP="0053034B">
            <w:pPr>
              <w:keepLines/>
              <w:rPr>
                <w:rFonts w:ascii="Helvetica Neue" w:hAnsi="Helvetica Neue" w:cs="Arial"/>
                <w:b/>
                <w:color w:val="003D7D"/>
                <w:sz w:val="20"/>
              </w:rPr>
            </w:pPr>
          </w:p>
          <w:p w:rsidR="00704E42" w:rsidRPr="005A4D2F" w:rsidRDefault="00704E42" w:rsidP="0053034B">
            <w:pPr>
              <w:keepLines/>
              <w:rPr>
                <w:rFonts w:ascii="Helvetica Neue" w:hAnsi="Helvetica Neue" w:cs="Arial"/>
                <w:b/>
                <w:color w:val="003D7D"/>
                <w:sz w:val="20"/>
              </w:rPr>
            </w:pPr>
            <w:r w:rsidRPr="005A4D2F">
              <w:rPr>
                <w:rFonts w:ascii="Helvetica Neue" w:hAnsi="Helvetica Neue" w:cs="Arial"/>
                <w:b/>
                <w:color w:val="003D7D"/>
                <w:sz w:val="20"/>
              </w:rPr>
              <w:t>ii. The knowledge and appreciation of mathematical principles must be sufficient to support the understanding and application of key biological concepts, and underpin problem solving at the theoretical and practical levels</w:t>
            </w:r>
          </w:p>
          <w:p w:rsidR="00704E42" w:rsidRPr="005A4D2F" w:rsidRDefault="00704E42" w:rsidP="0053034B">
            <w:pPr>
              <w:keepLines/>
              <w:rPr>
                <w:rFonts w:ascii="Helvetica Neue" w:hAnsi="Helvetica Neue" w:cs="Arial"/>
                <w:b/>
                <w:color w:val="003D7D"/>
                <w:sz w:val="20"/>
              </w:rPr>
            </w:pPr>
          </w:p>
        </w:tc>
        <w:tc>
          <w:tcPr>
            <w:tcW w:w="5528" w:type="dxa"/>
          </w:tcPr>
          <w:p w:rsidR="00704E42" w:rsidRPr="005A4D2F" w:rsidRDefault="00704E42" w:rsidP="0053034B">
            <w:pPr>
              <w:keepLines/>
              <w:rPr>
                <w:rFonts w:ascii="Helvetica Neue" w:hAnsi="Helvetica Neue" w:cs="Arial"/>
                <w:color w:val="003D7D"/>
                <w:sz w:val="20"/>
              </w:rPr>
            </w:pPr>
            <w:r w:rsidRPr="005A4D2F">
              <w:rPr>
                <w:rFonts w:ascii="Helvetica Neue" w:hAnsi="Helvetica Neue" w:cs="Arial"/>
                <w:color w:val="003D7D"/>
                <w:sz w:val="20"/>
              </w:rPr>
              <w:t>Different specialisms may vary in the underpinning of mathematics, statistics, chemistry and physics at the technical and analytic skills levels. For instance, the treatment of descriptive and analytical statistics may vary between the molecular</w:t>
            </w:r>
            <w:r>
              <w:rPr>
                <w:rFonts w:ascii="Helvetica Neue" w:hAnsi="Helvetica Neue" w:cs="Arial"/>
                <w:color w:val="003D7D"/>
                <w:sz w:val="20"/>
              </w:rPr>
              <w:t>, the whole organism</w:t>
            </w:r>
            <w:r w:rsidRPr="005A4D2F">
              <w:rPr>
                <w:rFonts w:ascii="Helvetica Neue" w:hAnsi="Helvetica Neue" w:cs="Arial"/>
                <w:color w:val="003D7D"/>
                <w:sz w:val="20"/>
              </w:rPr>
              <w:t xml:space="preserve"> and the ecological and environmental sciences streams. </w:t>
            </w:r>
          </w:p>
          <w:p w:rsidR="00704E42" w:rsidRPr="005A4D2F" w:rsidRDefault="00704E42" w:rsidP="0053034B">
            <w:pPr>
              <w:keepLines/>
              <w:rPr>
                <w:rFonts w:ascii="Helvetica Neue" w:hAnsi="Helvetica Neue" w:cs="Arial"/>
                <w:color w:val="003D7D"/>
                <w:sz w:val="20"/>
              </w:rPr>
            </w:pPr>
          </w:p>
          <w:p w:rsidR="00704E42" w:rsidRPr="005A4D2F" w:rsidRDefault="00704E42" w:rsidP="0053034B">
            <w:pPr>
              <w:keepLines/>
              <w:rPr>
                <w:rFonts w:ascii="Helvetica Neue" w:hAnsi="Helvetica Neue" w:cs="Arial"/>
                <w:color w:val="003D7D"/>
                <w:sz w:val="20"/>
              </w:rPr>
            </w:pPr>
            <w:r w:rsidRPr="005A4D2F">
              <w:rPr>
                <w:rFonts w:ascii="Helvetica Neue" w:hAnsi="Helvetica Neue" w:cs="Arial"/>
                <w:color w:val="003D7D"/>
                <w:sz w:val="20"/>
              </w:rPr>
              <w:t xml:space="preserve">A greater underpinning of physics might be deemed necessary for disciplines within the molecular stream where the biological applications of synchrotron radiation, x-ray crystallography or other physical science techniques are covered. </w:t>
            </w:r>
          </w:p>
          <w:p w:rsidR="00704E42" w:rsidRPr="005A4D2F" w:rsidRDefault="00704E42" w:rsidP="0053034B">
            <w:pPr>
              <w:keepLines/>
              <w:rPr>
                <w:rFonts w:ascii="Helvetica Neue" w:hAnsi="Helvetica Neue" w:cs="Arial"/>
                <w:color w:val="003D7D"/>
                <w:sz w:val="20"/>
              </w:rPr>
            </w:pPr>
          </w:p>
          <w:p w:rsidR="00704E42" w:rsidRPr="005A4D2F" w:rsidRDefault="00704E42" w:rsidP="0053034B">
            <w:pPr>
              <w:keepLines/>
              <w:rPr>
                <w:rFonts w:ascii="Helvetica Neue" w:hAnsi="Helvetica Neue" w:cs="Arial"/>
                <w:color w:val="003D7D"/>
                <w:sz w:val="20"/>
              </w:rPr>
            </w:pPr>
            <w:r w:rsidRPr="005A4D2F">
              <w:rPr>
                <w:rFonts w:ascii="Helvetica Neue" w:hAnsi="Helvetica Neue" w:cs="Arial"/>
                <w:color w:val="003D7D"/>
                <w:sz w:val="20"/>
              </w:rPr>
              <w:t>We would expect all students to have an understanding of the science principles behind the technical equipment they use.</w:t>
            </w:r>
          </w:p>
          <w:p w:rsidR="00704E42" w:rsidRPr="005A4D2F" w:rsidRDefault="00704E42" w:rsidP="0053034B">
            <w:pPr>
              <w:keepLines/>
              <w:rPr>
                <w:rFonts w:ascii="Helvetica Neue" w:hAnsi="Helvetica Neue" w:cs="Arial"/>
                <w:color w:val="003D7D"/>
                <w:sz w:val="20"/>
              </w:rPr>
            </w:pPr>
          </w:p>
        </w:tc>
      </w:tr>
      <w:tr w:rsidR="00704E42" w:rsidRPr="005A4D2F" w:rsidTr="00704E42">
        <w:trPr>
          <w:jc w:val="center"/>
        </w:trPr>
        <w:tc>
          <w:tcPr>
            <w:tcW w:w="4392" w:type="dxa"/>
          </w:tcPr>
          <w:p w:rsidR="00704E42" w:rsidRPr="005A4D2F" w:rsidRDefault="00704E42" w:rsidP="0053034B">
            <w:pPr>
              <w:keepLines/>
              <w:rPr>
                <w:rFonts w:ascii="Helvetica Neue" w:hAnsi="Helvetica Neue" w:cs="Arial"/>
                <w:b/>
                <w:color w:val="003D7D"/>
                <w:sz w:val="20"/>
              </w:rPr>
            </w:pPr>
          </w:p>
          <w:p w:rsidR="00704E42" w:rsidRPr="005A4D2F" w:rsidRDefault="00704E42" w:rsidP="0053034B">
            <w:pPr>
              <w:keepLines/>
              <w:rPr>
                <w:rFonts w:ascii="Helvetica Neue" w:hAnsi="Helvetica Neue" w:cs="Arial"/>
                <w:b/>
                <w:color w:val="003D7D"/>
                <w:sz w:val="20"/>
              </w:rPr>
            </w:pPr>
            <w:r w:rsidRPr="005A4D2F">
              <w:rPr>
                <w:rFonts w:ascii="Helvetica Neue" w:hAnsi="Helvetica Neue" w:cs="Arial"/>
                <w:b/>
                <w:color w:val="003D7D"/>
                <w:sz w:val="20"/>
              </w:rPr>
              <w:t>iii. Graduates will be equipped with the appropriate knowledge and skills needed to handle variation in data at different levels of complexity</w:t>
            </w:r>
          </w:p>
          <w:p w:rsidR="00704E42" w:rsidRPr="005A4D2F" w:rsidRDefault="00704E42" w:rsidP="0053034B">
            <w:pPr>
              <w:keepLines/>
              <w:rPr>
                <w:rFonts w:ascii="Helvetica Neue" w:hAnsi="Helvetica Neue" w:cs="Arial"/>
                <w:b/>
                <w:color w:val="003D7D"/>
                <w:sz w:val="20"/>
              </w:rPr>
            </w:pPr>
          </w:p>
        </w:tc>
        <w:tc>
          <w:tcPr>
            <w:tcW w:w="5528" w:type="dxa"/>
          </w:tcPr>
          <w:p w:rsidR="00704E42" w:rsidRPr="005A4D2F" w:rsidRDefault="00704E42" w:rsidP="0053034B">
            <w:pPr>
              <w:keepLines/>
              <w:rPr>
                <w:rFonts w:ascii="Helvetica Neue" w:hAnsi="Helvetica Neue" w:cs="Arial"/>
                <w:color w:val="003D7D"/>
                <w:sz w:val="20"/>
              </w:rPr>
            </w:pPr>
            <w:r w:rsidRPr="005A4D2F">
              <w:rPr>
                <w:rFonts w:ascii="Helvetica Neue" w:hAnsi="Helvetica Neue" w:cs="Arial"/>
                <w:color w:val="003D7D"/>
                <w:sz w:val="20"/>
              </w:rPr>
              <w:t xml:space="preserve">Students should be equipped with the knowledge of mathematics and statistical approaches needed to handle variation at different levels, including qualitative approaches, especially with regard to the greatly increased amount of data being generated by modern laboratory and computing techniques. Students should understand the statistical aspects of experimental procedures, encompassing the analysis of collected data, the design and analysis of studies, the development of calibration and analysis techniques, </w:t>
            </w:r>
            <w:r>
              <w:rPr>
                <w:rFonts w:ascii="Helvetica Neue" w:hAnsi="Helvetica Neue" w:cs="Arial"/>
                <w:color w:val="003D7D"/>
                <w:sz w:val="20"/>
              </w:rPr>
              <w:t xml:space="preserve">multivariate statistics, </w:t>
            </w:r>
            <w:r w:rsidRPr="005A4D2F">
              <w:rPr>
                <w:rFonts w:ascii="Helvetica Neue" w:hAnsi="Helvetica Neue" w:cs="Arial"/>
                <w:color w:val="003D7D"/>
                <w:sz w:val="20"/>
              </w:rPr>
              <w:t>and the robustness of data.</w:t>
            </w:r>
          </w:p>
          <w:p w:rsidR="00704E42" w:rsidRPr="005A4D2F" w:rsidRDefault="00704E42" w:rsidP="0053034B">
            <w:pPr>
              <w:keepLines/>
              <w:rPr>
                <w:rFonts w:ascii="Helvetica Neue" w:hAnsi="Helvetica Neue" w:cs="Arial"/>
                <w:color w:val="003D7D"/>
                <w:sz w:val="20"/>
              </w:rPr>
            </w:pPr>
          </w:p>
        </w:tc>
      </w:tr>
    </w:tbl>
    <w:p w:rsidR="00704E42" w:rsidRPr="005A4D2F" w:rsidRDefault="00704E42" w:rsidP="00704E42">
      <w:pPr>
        <w:spacing w:after="0" w:line="240" w:lineRule="auto"/>
        <w:rPr>
          <w:rFonts w:ascii="Helvetica Neue" w:hAnsi="Helvetica Neue" w:cs="Arial"/>
          <w:color w:val="003D7D"/>
          <w:sz w:val="20"/>
        </w:rPr>
      </w:pPr>
    </w:p>
    <w:p w:rsidR="00704E42" w:rsidRPr="005A4D2F" w:rsidRDefault="00704E42" w:rsidP="00704E42">
      <w:pPr>
        <w:spacing w:after="0" w:line="240" w:lineRule="auto"/>
        <w:rPr>
          <w:rFonts w:ascii="Helvetica Neue" w:hAnsi="Helvetica Neue" w:cs="Arial"/>
          <w:color w:val="003D7D"/>
          <w:sz w:val="20"/>
        </w:rPr>
      </w:pPr>
    </w:p>
    <w:tbl>
      <w:tblPr>
        <w:tblStyle w:val="TableGrid"/>
        <w:tblW w:w="9920" w:type="dxa"/>
        <w:jc w:val="center"/>
        <w:tblBorders>
          <w:top w:val="single" w:sz="2" w:space="0" w:color="48A942"/>
          <w:left w:val="single" w:sz="2" w:space="0" w:color="48A942"/>
          <w:bottom w:val="single" w:sz="2" w:space="0" w:color="48A942"/>
          <w:right w:val="single" w:sz="2" w:space="0" w:color="48A942"/>
          <w:insideH w:val="single" w:sz="2" w:space="0" w:color="48A942"/>
          <w:insideV w:val="single" w:sz="2" w:space="0" w:color="48A942"/>
        </w:tblBorders>
        <w:tblLook w:val="04A0" w:firstRow="1" w:lastRow="0" w:firstColumn="1" w:lastColumn="0" w:noHBand="0" w:noVBand="1"/>
      </w:tblPr>
      <w:tblGrid>
        <w:gridCol w:w="4392"/>
        <w:gridCol w:w="5528"/>
      </w:tblGrid>
      <w:tr w:rsidR="009F1C3F" w:rsidRPr="005A4D2F" w:rsidTr="004B1355">
        <w:trPr>
          <w:jc w:val="center"/>
        </w:trPr>
        <w:tc>
          <w:tcPr>
            <w:tcW w:w="9920" w:type="dxa"/>
            <w:gridSpan w:val="2"/>
          </w:tcPr>
          <w:p w:rsidR="009F1C3F" w:rsidRDefault="009F1C3F" w:rsidP="0053034B">
            <w:pPr>
              <w:keepLines/>
              <w:rPr>
                <w:rFonts w:ascii="Helvetica Neue" w:hAnsi="Helvetica Neue" w:cs="Arial"/>
                <w:b/>
                <w:color w:val="003D7D"/>
                <w:sz w:val="20"/>
              </w:rPr>
            </w:pPr>
          </w:p>
          <w:p w:rsidR="009F1C3F" w:rsidRPr="005A4D2F" w:rsidRDefault="009F1C3F" w:rsidP="009F1C3F">
            <w:pPr>
              <w:keepLines/>
              <w:rPr>
                <w:rFonts w:ascii="Helvetica Neue" w:hAnsi="Helvetica Neue" w:cs="Arial"/>
                <w:b/>
                <w:color w:val="48A942"/>
                <w:sz w:val="20"/>
              </w:rPr>
            </w:pPr>
            <w:bookmarkStart w:id="4" w:name="Acc_Criterion_5_Guidance"/>
            <w:r w:rsidRPr="005A4D2F">
              <w:rPr>
                <w:rFonts w:ascii="Helvetica Neue" w:hAnsi="Helvetica Neue" w:cs="Arial"/>
                <w:b/>
                <w:color w:val="48A942"/>
                <w:sz w:val="20"/>
              </w:rPr>
              <w:t>5. Specific skills and knowledge appropriate to the degree title</w:t>
            </w:r>
          </w:p>
          <w:bookmarkEnd w:id="4"/>
          <w:p w:rsidR="009F1C3F" w:rsidRPr="005A4D2F" w:rsidRDefault="009F1C3F" w:rsidP="0053034B">
            <w:pPr>
              <w:keepLines/>
              <w:rPr>
                <w:rFonts w:ascii="Helvetica Neue" w:hAnsi="Helvetica Neue" w:cs="Arial"/>
                <w:b/>
                <w:color w:val="003D7D"/>
                <w:sz w:val="20"/>
              </w:rPr>
            </w:pPr>
          </w:p>
        </w:tc>
      </w:tr>
      <w:tr w:rsidR="009F1C3F" w:rsidRPr="005A4D2F" w:rsidTr="009F1C3F">
        <w:trPr>
          <w:jc w:val="center"/>
        </w:trPr>
        <w:tc>
          <w:tcPr>
            <w:tcW w:w="4392" w:type="dxa"/>
          </w:tcPr>
          <w:p w:rsidR="009F1C3F" w:rsidRPr="005A4D2F" w:rsidRDefault="009F1C3F" w:rsidP="0053034B">
            <w:pPr>
              <w:keepLines/>
              <w:rPr>
                <w:rFonts w:ascii="Helvetica Neue" w:hAnsi="Helvetica Neue" w:cs="Arial"/>
                <w:b/>
                <w:color w:val="003D7D"/>
                <w:sz w:val="20"/>
              </w:rPr>
            </w:pPr>
          </w:p>
          <w:p w:rsidR="009F1C3F" w:rsidRPr="005A4D2F" w:rsidRDefault="009F1C3F" w:rsidP="0053034B">
            <w:pPr>
              <w:keepLines/>
              <w:rPr>
                <w:rFonts w:ascii="Helvetica Neue" w:hAnsi="Helvetica Neue" w:cs="Arial"/>
                <w:b/>
                <w:color w:val="003D7D"/>
                <w:sz w:val="20"/>
              </w:rPr>
            </w:pPr>
            <w:r w:rsidRPr="005A4D2F">
              <w:rPr>
                <w:rFonts w:ascii="Helvetica Neue" w:hAnsi="Helvetica Neue" w:cs="Arial"/>
                <w:b/>
                <w:color w:val="003D7D"/>
                <w:sz w:val="20"/>
              </w:rPr>
              <w:t>Attributes</w:t>
            </w:r>
          </w:p>
          <w:p w:rsidR="009F1C3F" w:rsidRPr="005A4D2F" w:rsidRDefault="009F1C3F" w:rsidP="0053034B">
            <w:pPr>
              <w:keepLines/>
              <w:rPr>
                <w:rFonts w:ascii="Helvetica Neue" w:hAnsi="Helvetica Neue" w:cs="Arial"/>
                <w:b/>
                <w:color w:val="003D7D"/>
                <w:sz w:val="20"/>
              </w:rPr>
            </w:pPr>
          </w:p>
        </w:tc>
        <w:tc>
          <w:tcPr>
            <w:tcW w:w="5528" w:type="dxa"/>
          </w:tcPr>
          <w:p w:rsidR="009F1C3F" w:rsidRPr="005A4D2F" w:rsidRDefault="009F1C3F" w:rsidP="0053034B">
            <w:pPr>
              <w:keepLines/>
              <w:rPr>
                <w:rFonts w:ascii="Helvetica Neue" w:hAnsi="Helvetica Neue" w:cs="Arial"/>
                <w:b/>
                <w:color w:val="003D7D"/>
                <w:sz w:val="20"/>
              </w:rPr>
            </w:pPr>
          </w:p>
          <w:p w:rsidR="009F1C3F" w:rsidRPr="005A4D2F" w:rsidRDefault="009F1C3F" w:rsidP="0053034B">
            <w:pPr>
              <w:keepLines/>
              <w:rPr>
                <w:rFonts w:ascii="Helvetica Neue" w:hAnsi="Helvetica Neue" w:cs="Arial"/>
                <w:color w:val="003D7D"/>
                <w:sz w:val="20"/>
              </w:rPr>
            </w:pPr>
            <w:r w:rsidRPr="005A4D2F">
              <w:rPr>
                <w:rFonts w:ascii="Helvetica Neue" w:hAnsi="Helvetica Neue" w:cs="Arial"/>
                <w:b/>
                <w:color w:val="003D7D"/>
                <w:sz w:val="20"/>
              </w:rPr>
              <w:t>Notes</w:t>
            </w:r>
          </w:p>
        </w:tc>
      </w:tr>
      <w:tr w:rsidR="009F1C3F" w:rsidRPr="005A4D2F" w:rsidTr="009F1C3F">
        <w:trPr>
          <w:jc w:val="center"/>
        </w:trPr>
        <w:tc>
          <w:tcPr>
            <w:tcW w:w="4392" w:type="dxa"/>
          </w:tcPr>
          <w:p w:rsidR="009F1C3F" w:rsidRPr="005A4D2F" w:rsidRDefault="009F1C3F" w:rsidP="0053034B">
            <w:pPr>
              <w:keepLines/>
              <w:rPr>
                <w:rFonts w:ascii="Helvetica Neue" w:hAnsi="Helvetica Neue" w:cs="Arial"/>
                <w:b/>
                <w:color w:val="003D7D"/>
                <w:sz w:val="20"/>
              </w:rPr>
            </w:pPr>
          </w:p>
          <w:p w:rsidR="009F1C3F" w:rsidRPr="005A4D2F" w:rsidRDefault="009F1C3F" w:rsidP="0053034B">
            <w:pPr>
              <w:keepLines/>
              <w:rPr>
                <w:rFonts w:ascii="Helvetica Neue" w:hAnsi="Helvetica Neue" w:cs="Arial"/>
                <w:b/>
                <w:color w:val="003D7D"/>
                <w:sz w:val="20"/>
              </w:rPr>
            </w:pPr>
            <w:proofErr w:type="spellStart"/>
            <w:r w:rsidRPr="005A4D2F">
              <w:rPr>
                <w:rFonts w:ascii="Helvetica Neue" w:hAnsi="Helvetica Neue" w:cs="Arial"/>
                <w:b/>
                <w:color w:val="003D7D"/>
                <w:sz w:val="20"/>
              </w:rPr>
              <w:t>i</w:t>
            </w:r>
            <w:proofErr w:type="spellEnd"/>
            <w:r w:rsidRPr="005A4D2F">
              <w:rPr>
                <w:rFonts w:ascii="Helvetica Neue" w:hAnsi="Helvetica Neue" w:cs="Arial"/>
                <w:b/>
                <w:color w:val="003D7D"/>
                <w:sz w:val="20"/>
              </w:rPr>
              <w:t>. Bioscience graduates will have knowledge of the fundamentals of biology, including: an overview of biodiversity and the biological environment; molecular, cell and whole organism biology; biochemistry, genetics, and the concept of evolution</w:t>
            </w:r>
          </w:p>
          <w:p w:rsidR="009F1C3F" w:rsidRPr="005A4D2F" w:rsidRDefault="009F1C3F" w:rsidP="0053034B">
            <w:pPr>
              <w:keepLines/>
              <w:rPr>
                <w:rFonts w:ascii="Helvetica Neue" w:hAnsi="Helvetica Neue" w:cs="Arial"/>
                <w:b/>
                <w:color w:val="003D7D"/>
                <w:sz w:val="20"/>
              </w:rPr>
            </w:pPr>
          </w:p>
        </w:tc>
        <w:tc>
          <w:tcPr>
            <w:tcW w:w="5528" w:type="dxa"/>
          </w:tcPr>
          <w:p w:rsidR="009F1C3F" w:rsidRPr="005A4D2F" w:rsidRDefault="009F1C3F" w:rsidP="0053034B">
            <w:pPr>
              <w:keepLines/>
              <w:rPr>
                <w:rFonts w:ascii="Helvetica Neue" w:hAnsi="Helvetica Neue" w:cs="Arial"/>
                <w:color w:val="003D7D"/>
                <w:sz w:val="20"/>
              </w:rPr>
            </w:pPr>
            <w:r w:rsidRPr="005A4D2F">
              <w:rPr>
                <w:rFonts w:ascii="Helvetica Neue" w:hAnsi="Helvetica Neue" w:cs="Arial"/>
                <w:color w:val="003D7D"/>
                <w:sz w:val="20"/>
              </w:rPr>
              <w:t>It is essential that graduates from an accredited degree not only have an overview that helps them understand their chosen field of study but that they can “hold their own” in terms of basic biological knowledge in the context of overall public awareness.</w:t>
            </w:r>
          </w:p>
          <w:p w:rsidR="009F1C3F" w:rsidRPr="005A4D2F" w:rsidRDefault="009F1C3F" w:rsidP="0053034B">
            <w:pPr>
              <w:keepLines/>
              <w:rPr>
                <w:rFonts w:ascii="Helvetica Neue" w:hAnsi="Helvetica Neue" w:cs="Arial"/>
                <w:color w:val="003D7D"/>
                <w:sz w:val="20"/>
              </w:rPr>
            </w:pPr>
          </w:p>
          <w:p w:rsidR="009F1C3F" w:rsidRPr="005A4D2F" w:rsidRDefault="009F1C3F" w:rsidP="0053034B">
            <w:pPr>
              <w:keepLines/>
              <w:rPr>
                <w:rFonts w:ascii="Helvetica Neue" w:hAnsi="Helvetica Neue" w:cs="Arial"/>
                <w:color w:val="003D7D"/>
                <w:sz w:val="20"/>
              </w:rPr>
            </w:pPr>
            <w:r w:rsidRPr="005A4D2F">
              <w:rPr>
                <w:rFonts w:ascii="Helvetica Neue" w:hAnsi="Helvetica Neue" w:cs="Arial"/>
                <w:color w:val="003D7D"/>
                <w:sz w:val="20"/>
              </w:rPr>
              <w:t>The topics forming the fundamentals of biology provide the underpinning context to the specialisation. The Society accepts that they may be explored to a greater or lesser extent according to specialisation of the degree and it may be appropriate that some of the core topics be mainly taught at FHEQ Level 4 (or SHEQ Levels 7 or 8 in Scotland).</w:t>
            </w:r>
          </w:p>
          <w:p w:rsidR="009F1C3F" w:rsidRPr="005A4D2F" w:rsidRDefault="009F1C3F" w:rsidP="0053034B">
            <w:pPr>
              <w:keepLines/>
              <w:rPr>
                <w:rFonts w:ascii="Helvetica Neue" w:hAnsi="Helvetica Neue" w:cs="Arial"/>
                <w:color w:val="003D7D"/>
                <w:sz w:val="20"/>
              </w:rPr>
            </w:pPr>
          </w:p>
        </w:tc>
      </w:tr>
      <w:tr w:rsidR="009F1C3F" w:rsidRPr="005A4D2F" w:rsidTr="009F1C3F">
        <w:trPr>
          <w:jc w:val="center"/>
        </w:trPr>
        <w:tc>
          <w:tcPr>
            <w:tcW w:w="4392" w:type="dxa"/>
          </w:tcPr>
          <w:p w:rsidR="009F1C3F" w:rsidRPr="005A4D2F" w:rsidRDefault="009F1C3F" w:rsidP="0053034B">
            <w:pPr>
              <w:keepLines/>
              <w:rPr>
                <w:rFonts w:ascii="Helvetica Neue" w:hAnsi="Helvetica Neue" w:cs="Arial"/>
                <w:b/>
                <w:color w:val="003D7D"/>
                <w:sz w:val="20"/>
              </w:rPr>
            </w:pPr>
          </w:p>
          <w:p w:rsidR="009F1C3F" w:rsidRPr="005A4D2F" w:rsidRDefault="009F1C3F" w:rsidP="0053034B">
            <w:pPr>
              <w:keepLines/>
              <w:rPr>
                <w:rFonts w:ascii="Helvetica Neue" w:hAnsi="Helvetica Neue" w:cs="Arial"/>
                <w:b/>
                <w:color w:val="003D7D"/>
                <w:sz w:val="20"/>
              </w:rPr>
            </w:pPr>
            <w:r w:rsidRPr="005A4D2F">
              <w:rPr>
                <w:rFonts w:ascii="Helvetica Neue" w:hAnsi="Helvetica Neue" w:cs="Arial"/>
                <w:b/>
                <w:color w:val="003D7D"/>
                <w:sz w:val="20"/>
              </w:rPr>
              <w:t>ii. Degrees will adhere to the relevant recommendations within the QAA Subject Benchmark Statements for Biosciences and/or Biomedical Sciences, with reference to other Benchmark Statements as appropriate</w:t>
            </w:r>
          </w:p>
          <w:p w:rsidR="009F1C3F" w:rsidRPr="005A4D2F" w:rsidRDefault="009F1C3F" w:rsidP="0053034B">
            <w:pPr>
              <w:keepLines/>
              <w:rPr>
                <w:rFonts w:ascii="Helvetica Neue" w:hAnsi="Helvetica Neue" w:cs="Arial"/>
                <w:b/>
                <w:color w:val="003D7D"/>
                <w:sz w:val="20"/>
              </w:rPr>
            </w:pPr>
          </w:p>
        </w:tc>
        <w:tc>
          <w:tcPr>
            <w:tcW w:w="5528" w:type="dxa"/>
          </w:tcPr>
          <w:p w:rsidR="009F1C3F" w:rsidRPr="005A4D2F" w:rsidRDefault="009F1C3F" w:rsidP="0053034B">
            <w:pPr>
              <w:keepLines/>
              <w:rPr>
                <w:rFonts w:ascii="Helvetica Neue" w:hAnsi="Helvetica Neue" w:cs="Arial"/>
                <w:color w:val="003D7D"/>
                <w:sz w:val="20"/>
              </w:rPr>
            </w:pPr>
            <w:r w:rsidRPr="005A4D2F">
              <w:rPr>
                <w:rFonts w:ascii="Helvetica Neue" w:hAnsi="Helvetica Neue" w:cs="Arial"/>
                <w:color w:val="003D7D"/>
                <w:sz w:val="20"/>
              </w:rPr>
              <w:t xml:space="preserve">The Society recognises general areas (e.g. Molecular Aspects of Biology, Whole Organism Biology, Ecological and Environmental Sciences). The key topics within these degrees are outlined in the Quality Assurance Agency Biosciences Benchmark Statement and/or the Biomedical Sciences Benchmark Statement and are not repeated here. Accredited programmes will be expected to adhere to the guidance for the typical standard of the most current Benchmark Statements (available at </w:t>
            </w:r>
            <w:r w:rsidRPr="005A4D2F">
              <w:rPr>
                <w:rFonts w:ascii="Helvetica Neue" w:hAnsi="Helvetica Neue" w:cs="Arial"/>
                <w:b/>
                <w:color w:val="48A942"/>
                <w:sz w:val="20"/>
              </w:rPr>
              <w:t>www.qaa.ac.uk/quality-code/subject-benchmark-statements#</w:t>
            </w:r>
            <w:r w:rsidRPr="005A4D2F">
              <w:rPr>
                <w:rFonts w:ascii="Helvetica Neue" w:hAnsi="Helvetica Neue" w:cs="Arial"/>
                <w:color w:val="003D7D"/>
                <w:sz w:val="20"/>
              </w:rPr>
              <w:t>).</w:t>
            </w:r>
          </w:p>
          <w:p w:rsidR="009F1C3F" w:rsidRPr="005A4D2F" w:rsidRDefault="009F1C3F" w:rsidP="0053034B">
            <w:pPr>
              <w:keepLines/>
              <w:rPr>
                <w:rFonts w:ascii="Helvetica Neue" w:hAnsi="Helvetica Neue" w:cs="Arial"/>
                <w:color w:val="003D7D"/>
                <w:sz w:val="20"/>
              </w:rPr>
            </w:pPr>
          </w:p>
        </w:tc>
      </w:tr>
      <w:tr w:rsidR="009F1C3F" w:rsidRPr="005A4D2F" w:rsidTr="009F1C3F">
        <w:trPr>
          <w:jc w:val="center"/>
        </w:trPr>
        <w:tc>
          <w:tcPr>
            <w:tcW w:w="4392" w:type="dxa"/>
          </w:tcPr>
          <w:p w:rsidR="009F1C3F" w:rsidRPr="005A4D2F" w:rsidRDefault="009F1C3F" w:rsidP="0053034B">
            <w:pPr>
              <w:keepLines/>
              <w:rPr>
                <w:rFonts w:ascii="Helvetica Neue" w:hAnsi="Helvetica Neue" w:cs="Arial"/>
                <w:b/>
                <w:color w:val="003D7D"/>
                <w:sz w:val="20"/>
              </w:rPr>
            </w:pPr>
          </w:p>
          <w:p w:rsidR="009F1C3F" w:rsidRPr="005A4D2F" w:rsidRDefault="009F1C3F" w:rsidP="0053034B">
            <w:pPr>
              <w:keepLines/>
              <w:rPr>
                <w:rFonts w:ascii="Helvetica Neue" w:hAnsi="Helvetica Neue" w:cs="Arial"/>
                <w:b/>
                <w:color w:val="003D7D"/>
                <w:sz w:val="20"/>
              </w:rPr>
            </w:pPr>
            <w:r w:rsidRPr="005A4D2F">
              <w:rPr>
                <w:rFonts w:ascii="Helvetica Neue" w:hAnsi="Helvetica Neue" w:cs="Arial"/>
                <w:b/>
                <w:color w:val="003D7D"/>
                <w:sz w:val="20"/>
              </w:rPr>
              <w:t xml:space="preserve">iii. Specialist degrees will meet the subject-specific requirements of the relevant Learned Societies as listed in </w:t>
            </w:r>
            <w:r>
              <w:rPr>
                <w:rFonts w:ascii="Helvetica Neue" w:hAnsi="Helvetica Neue" w:cs="Arial"/>
                <w:b/>
                <w:color w:val="003D7D"/>
                <w:sz w:val="20"/>
              </w:rPr>
              <w:t>Annex 3</w:t>
            </w:r>
          </w:p>
          <w:p w:rsidR="009F1C3F" w:rsidRPr="005A4D2F" w:rsidRDefault="009F1C3F" w:rsidP="0053034B">
            <w:pPr>
              <w:keepLines/>
              <w:rPr>
                <w:rFonts w:ascii="Helvetica Neue" w:hAnsi="Helvetica Neue" w:cs="Arial"/>
                <w:b/>
                <w:color w:val="003D7D"/>
                <w:sz w:val="20"/>
              </w:rPr>
            </w:pPr>
          </w:p>
        </w:tc>
        <w:tc>
          <w:tcPr>
            <w:tcW w:w="5528" w:type="dxa"/>
          </w:tcPr>
          <w:p w:rsidR="009F1C3F" w:rsidRPr="005A4D2F" w:rsidRDefault="009F1C3F" w:rsidP="0053034B">
            <w:pPr>
              <w:keepLines/>
              <w:rPr>
                <w:rFonts w:ascii="Helvetica Neue" w:hAnsi="Helvetica Neue" w:cs="Arial"/>
                <w:color w:val="003D7D"/>
                <w:sz w:val="20"/>
              </w:rPr>
            </w:pPr>
            <w:r w:rsidRPr="005A4D2F">
              <w:rPr>
                <w:rFonts w:ascii="Helvetica Neue" w:hAnsi="Helvetica Neue" w:cs="Arial"/>
                <w:color w:val="003D7D"/>
                <w:sz w:val="20"/>
              </w:rPr>
              <w:t xml:space="preserve">Many honours degrees are awarded in subjects that have relevant Learned Societies. HEIs should consult with the appropriate Learned Societies for the specific skills and knowledge that may be required for a specific programme name. Some subject areas have defined additional Learning Outcomes (see </w:t>
            </w:r>
            <w:hyperlink w:anchor="_Annex_3_–" w:history="1">
              <w:r w:rsidRPr="00625516">
                <w:rPr>
                  <w:rStyle w:val="Hyperlink"/>
                  <w:rFonts w:ascii="Helvetica Neue" w:hAnsi="Helvetica Neue"/>
                  <w:color w:val="003D7D"/>
                  <w:sz w:val="20"/>
                </w:rPr>
                <w:t>Annex 3</w:t>
              </w:r>
            </w:hyperlink>
            <w:r w:rsidRPr="005A4D2F">
              <w:rPr>
                <w:rFonts w:ascii="Helvetica Neue" w:hAnsi="Helvetica Neue" w:cs="Arial"/>
                <w:color w:val="003D7D"/>
                <w:sz w:val="20"/>
              </w:rPr>
              <w:t>) which should be considered as conditions for accreditation of degrees with relevant titles or foci.</w:t>
            </w:r>
          </w:p>
          <w:p w:rsidR="009F1C3F" w:rsidRPr="005A4D2F" w:rsidRDefault="009F1C3F" w:rsidP="0053034B">
            <w:pPr>
              <w:keepLines/>
              <w:rPr>
                <w:rFonts w:ascii="Helvetica Neue" w:hAnsi="Helvetica Neue" w:cs="Arial"/>
                <w:color w:val="003D7D"/>
                <w:sz w:val="20"/>
              </w:rPr>
            </w:pPr>
          </w:p>
        </w:tc>
      </w:tr>
    </w:tbl>
    <w:p w:rsidR="00704E42" w:rsidRDefault="00704E42" w:rsidP="00704E42">
      <w:pPr>
        <w:spacing w:after="0" w:line="240" w:lineRule="auto"/>
        <w:rPr>
          <w:rFonts w:ascii="Helvetica Neue" w:hAnsi="Helvetica Neue" w:cs="Arial"/>
          <w:color w:val="003D7D"/>
          <w:sz w:val="20"/>
        </w:rPr>
      </w:pPr>
    </w:p>
    <w:p w:rsidR="00FC0BA9" w:rsidRDefault="00FC0BA9" w:rsidP="00704E42">
      <w:pPr>
        <w:spacing w:after="0" w:line="240" w:lineRule="auto"/>
        <w:rPr>
          <w:rFonts w:ascii="Helvetica Neue" w:hAnsi="Helvetica Neue" w:cs="Arial"/>
          <w:color w:val="003D7D"/>
          <w:sz w:val="20"/>
        </w:rPr>
      </w:pPr>
    </w:p>
    <w:p w:rsidR="00FC0BA9" w:rsidRPr="005A4D2F" w:rsidRDefault="00FC0BA9" w:rsidP="00704E42">
      <w:pPr>
        <w:spacing w:after="0" w:line="240" w:lineRule="auto"/>
        <w:rPr>
          <w:rFonts w:ascii="Helvetica Neue" w:hAnsi="Helvetica Neue" w:cs="Arial"/>
          <w:color w:val="003D7D"/>
          <w:sz w:val="20"/>
        </w:rPr>
      </w:pPr>
    </w:p>
    <w:p w:rsidR="00704E42" w:rsidRPr="005A4D2F" w:rsidRDefault="00704E42" w:rsidP="00704E42">
      <w:pPr>
        <w:spacing w:after="0" w:line="240" w:lineRule="auto"/>
        <w:rPr>
          <w:rFonts w:ascii="Helvetica Neue" w:hAnsi="Helvetica Neue" w:cs="Arial"/>
          <w:color w:val="003D7D"/>
          <w:sz w:val="20"/>
        </w:rPr>
      </w:pPr>
    </w:p>
    <w:tbl>
      <w:tblPr>
        <w:tblStyle w:val="TableGrid"/>
        <w:tblW w:w="9856" w:type="dxa"/>
        <w:jc w:val="center"/>
        <w:tblBorders>
          <w:top w:val="single" w:sz="2" w:space="0" w:color="48A942"/>
          <w:left w:val="single" w:sz="2" w:space="0" w:color="48A942"/>
          <w:bottom w:val="single" w:sz="2" w:space="0" w:color="48A942"/>
          <w:right w:val="single" w:sz="2" w:space="0" w:color="48A942"/>
          <w:insideH w:val="single" w:sz="2" w:space="0" w:color="48A942"/>
          <w:insideV w:val="single" w:sz="2" w:space="0" w:color="48A942"/>
        </w:tblBorders>
        <w:tblLook w:val="04A0" w:firstRow="1" w:lastRow="0" w:firstColumn="1" w:lastColumn="0" w:noHBand="0" w:noVBand="1"/>
      </w:tblPr>
      <w:tblGrid>
        <w:gridCol w:w="4293"/>
        <w:gridCol w:w="5563"/>
      </w:tblGrid>
      <w:tr w:rsidR="009F1C3F" w:rsidRPr="005A4D2F" w:rsidTr="00593C4F">
        <w:trPr>
          <w:jc w:val="center"/>
        </w:trPr>
        <w:tc>
          <w:tcPr>
            <w:tcW w:w="9856" w:type="dxa"/>
            <w:gridSpan w:val="2"/>
          </w:tcPr>
          <w:p w:rsidR="009F1C3F" w:rsidRDefault="009F1C3F" w:rsidP="0053034B">
            <w:pPr>
              <w:keepLines/>
              <w:rPr>
                <w:rFonts w:ascii="Helvetica Neue" w:hAnsi="Helvetica Neue" w:cs="Arial"/>
                <w:b/>
                <w:color w:val="003D7D"/>
                <w:sz w:val="20"/>
              </w:rPr>
            </w:pPr>
          </w:p>
          <w:p w:rsidR="009F1C3F" w:rsidRPr="005A4D2F" w:rsidRDefault="009F1C3F" w:rsidP="009F1C3F">
            <w:pPr>
              <w:keepLines/>
              <w:rPr>
                <w:rFonts w:ascii="Helvetica Neue" w:hAnsi="Helvetica Neue" w:cs="Arial"/>
                <w:b/>
                <w:color w:val="48A942"/>
                <w:sz w:val="20"/>
              </w:rPr>
            </w:pPr>
            <w:bookmarkStart w:id="5" w:name="Acc_Criterion_6_Guidance"/>
            <w:r w:rsidRPr="005A4D2F">
              <w:rPr>
                <w:rFonts w:ascii="Helvetica Neue" w:hAnsi="Helvetica Neue" w:cs="Arial"/>
                <w:b/>
                <w:color w:val="48A942"/>
                <w:sz w:val="20"/>
              </w:rPr>
              <w:t xml:space="preserve">6. Developing creativity and enterprise </w:t>
            </w:r>
          </w:p>
          <w:bookmarkEnd w:id="5"/>
          <w:p w:rsidR="009F1C3F" w:rsidRPr="005A4D2F" w:rsidRDefault="009F1C3F" w:rsidP="009F1C3F">
            <w:pPr>
              <w:keepLines/>
              <w:rPr>
                <w:rFonts w:ascii="Helvetica Neue" w:hAnsi="Helvetica Neue" w:cs="Arial"/>
                <w:b/>
                <w:color w:val="48A942"/>
                <w:sz w:val="20"/>
              </w:rPr>
            </w:pPr>
          </w:p>
          <w:p w:rsidR="009F1C3F" w:rsidRPr="005A4D2F" w:rsidRDefault="009F1C3F" w:rsidP="009F1C3F">
            <w:pPr>
              <w:keepLines/>
              <w:rPr>
                <w:rFonts w:ascii="Helvetica Neue" w:hAnsi="Helvetica Neue" w:cs="Arial"/>
                <w:color w:val="003D7D"/>
                <w:sz w:val="20"/>
              </w:rPr>
            </w:pPr>
            <w:r w:rsidRPr="005A4D2F">
              <w:rPr>
                <w:rFonts w:ascii="Helvetica Neue" w:hAnsi="Helvetica Neue" w:cs="Arial"/>
                <w:color w:val="003D7D"/>
                <w:sz w:val="20"/>
              </w:rPr>
              <w:t>The RSB recognises the importance of creating environments that support and promote the development of creativity, enterprise and entrepreneurship with our primary focus being on the experiential creative and innovative side, as being of key value to all graduates in their future employment.</w:t>
            </w:r>
            <w:r w:rsidRPr="005A4D2F">
              <w:rPr>
                <w:rFonts w:ascii="Helvetica Neue" w:hAnsi="Helvetica Neue" w:cs="Arial"/>
                <w:color w:val="003D7D"/>
                <w:sz w:val="20"/>
              </w:rPr>
              <w:tab/>
            </w:r>
          </w:p>
          <w:p w:rsidR="009F1C3F" w:rsidRPr="005A4D2F" w:rsidRDefault="009F1C3F" w:rsidP="009F1C3F">
            <w:pPr>
              <w:keepLines/>
              <w:rPr>
                <w:rFonts w:ascii="Helvetica Neue" w:hAnsi="Helvetica Neue" w:cs="Arial"/>
                <w:color w:val="003D7D"/>
                <w:sz w:val="20"/>
              </w:rPr>
            </w:pPr>
          </w:p>
          <w:p w:rsidR="009F1C3F" w:rsidRPr="005A4D2F" w:rsidRDefault="009F1C3F" w:rsidP="009F1C3F">
            <w:pPr>
              <w:keepLines/>
              <w:rPr>
                <w:rFonts w:ascii="Helvetica Neue" w:hAnsi="Helvetica Neue" w:cs="Arial"/>
                <w:color w:val="003D7D"/>
                <w:sz w:val="20"/>
              </w:rPr>
            </w:pPr>
            <w:r w:rsidRPr="005A4D2F">
              <w:rPr>
                <w:rFonts w:ascii="Helvetica Neue" w:hAnsi="Helvetica Neue" w:cs="Arial"/>
                <w:color w:val="003D7D"/>
                <w:sz w:val="20"/>
              </w:rPr>
              <w:t>Enterprise education will develop students’ capabilities as “enquiring, critical thinking, future orientated thinkers”</w:t>
            </w:r>
            <w:r w:rsidRPr="005A4D2F">
              <w:rPr>
                <w:rFonts w:ascii="Helvetica Neue" w:hAnsi="Helvetica Neue" w:cs="Arial"/>
                <w:color w:val="003D7D"/>
                <w:sz w:val="20"/>
                <w:vertAlign w:val="superscript"/>
              </w:rPr>
              <w:t>4</w:t>
            </w:r>
            <w:r w:rsidRPr="005A4D2F">
              <w:rPr>
                <w:rFonts w:ascii="Helvetica Neue" w:hAnsi="Helvetica Neue" w:cs="Arial"/>
                <w:color w:val="003D7D"/>
                <w:sz w:val="20"/>
              </w:rPr>
              <w:t>, as evidenced through contextualised specific learning experiences embedded within the curriculum; and assessment strategies and approaches that promote a creative and entrepreneurial environment.</w:t>
            </w:r>
          </w:p>
          <w:p w:rsidR="009F1C3F" w:rsidRPr="005A4D2F" w:rsidRDefault="009F1C3F" w:rsidP="0053034B">
            <w:pPr>
              <w:keepLines/>
              <w:rPr>
                <w:rFonts w:ascii="Helvetica Neue" w:hAnsi="Helvetica Neue" w:cs="Arial"/>
                <w:b/>
                <w:color w:val="003D7D"/>
                <w:sz w:val="20"/>
              </w:rPr>
            </w:pPr>
          </w:p>
        </w:tc>
      </w:tr>
      <w:tr w:rsidR="009F1C3F" w:rsidRPr="005A4D2F" w:rsidTr="009F1C3F">
        <w:trPr>
          <w:jc w:val="center"/>
        </w:trPr>
        <w:tc>
          <w:tcPr>
            <w:tcW w:w="4293" w:type="dxa"/>
          </w:tcPr>
          <w:p w:rsidR="009F1C3F" w:rsidRPr="005A4D2F" w:rsidRDefault="009F1C3F" w:rsidP="0053034B">
            <w:pPr>
              <w:keepLines/>
              <w:rPr>
                <w:rFonts w:ascii="Helvetica Neue" w:hAnsi="Helvetica Neue" w:cs="Arial"/>
                <w:b/>
                <w:color w:val="003D7D"/>
                <w:sz w:val="20"/>
              </w:rPr>
            </w:pPr>
          </w:p>
          <w:p w:rsidR="009F1C3F" w:rsidRPr="005A4D2F" w:rsidRDefault="009F1C3F" w:rsidP="0053034B">
            <w:pPr>
              <w:keepLines/>
              <w:rPr>
                <w:rFonts w:ascii="Helvetica Neue" w:hAnsi="Helvetica Neue" w:cs="Arial"/>
                <w:b/>
                <w:color w:val="003D7D"/>
                <w:sz w:val="20"/>
              </w:rPr>
            </w:pPr>
            <w:r w:rsidRPr="005A4D2F">
              <w:rPr>
                <w:rFonts w:ascii="Helvetica Neue" w:hAnsi="Helvetica Neue" w:cs="Arial"/>
                <w:b/>
                <w:color w:val="003D7D"/>
                <w:sz w:val="20"/>
              </w:rPr>
              <w:t>Attributes</w:t>
            </w:r>
          </w:p>
          <w:p w:rsidR="009F1C3F" w:rsidRPr="005A4D2F" w:rsidRDefault="009F1C3F" w:rsidP="0053034B">
            <w:pPr>
              <w:keepLines/>
              <w:rPr>
                <w:rFonts w:ascii="Helvetica Neue" w:hAnsi="Helvetica Neue" w:cs="Arial"/>
                <w:b/>
                <w:color w:val="003D7D"/>
                <w:sz w:val="20"/>
              </w:rPr>
            </w:pPr>
          </w:p>
        </w:tc>
        <w:tc>
          <w:tcPr>
            <w:tcW w:w="5563" w:type="dxa"/>
          </w:tcPr>
          <w:p w:rsidR="009F1C3F" w:rsidRPr="005A4D2F" w:rsidRDefault="009F1C3F" w:rsidP="0053034B">
            <w:pPr>
              <w:keepLines/>
              <w:rPr>
                <w:rFonts w:ascii="Helvetica Neue" w:hAnsi="Helvetica Neue" w:cs="Arial"/>
                <w:b/>
                <w:color w:val="003D7D"/>
                <w:sz w:val="20"/>
              </w:rPr>
            </w:pPr>
          </w:p>
          <w:p w:rsidR="009F1C3F" w:rsidRPr="005A4D2F" w:rsidRDefault="009F1C3F" w:rsidP="0053034B">
            <w:pPr>
              <w:keepLines/>
              <w:rPr>
                <w:rFonts w:ascii="Helvetica Neue" w:hAnsi="Helvetica Neue" w:cs="Arial"/>
                <w:b/>
                <w:color w:val="003D7D"/>
                <w:sz w:val="20"/>
              </w:rPr>
            </w:pPr>
            <w:r w:rsidRPr="005A4D2F">
              <w:rPr>
                <w:rFonts w:ascii="Helvetica Neue" w:hAnsi="Helvetica Neue" w:cs="Arial"/>
                <w:b/>
                <w:color w:val="003D7D"/>
                <w:sz w:val="20"/>
              </w:rPr>
              <w:t>Notes</w:t>
            </w:r>
          </w:p>
          <w:p w:rsidR="009F1C3F" w:rsidRPr="005A4D2F" w:rsidRDefault="009F1C3F" w:rsidP="0053034B">
            <w:pPr>
              <w:keepLines/>
              <w:rPr>
                <w:rFonts w:ascii="Helvetica Neue" w:hAnsi="Helvetica Neue" w:cs="Arial"/>
                <w:color w:val="003D7D"/>
                <w:sz w:val="20"/>
              </w:rPr>
            </w:pPr>
          </w:p>
        </w:tc>
      </w:tr>
      <w:tr w:rsidR="009F1C3F" w:rsidRPr="005A4D2F" w:rsidTr="009F1C3F">
        <w:trPr>
          <w:jc w:val="center"/>
        </w:trPr>
        <w:tc>
          <w:tcPr>
            <w:tcW w:w="4293" w:type="dxa"/>
          </w:tcPr>
          <w:p w:rsidR="009F1C3F" w:rsidRPr="005A4D2F" w:rsidRDefault="009F1C3F" w:rsidP="0053034B">
            <w:pPr>
              <w:keepLines/>
              <w:rPr>
                <w:rFonts w:ascii="Helvetica Neue" w:hAnsi="Helvetica Neue" w:cs="Arial"/>
                <w:b/>
                <w:color w:val="003D7D"/>
                <w:sz w:val="20"/>
              </w:rPr>
            </w:pPr>
          </w:p>
          <w:p w:rsidR="009F1C3F" w:rsidRPr="005A4D2F" w:rsidRDefault="009F1C3F" w:rsidP="0053034B">
            <w:pPr>
              <w:keepLines/>
              <w:rPr>
                <w:rFonts w:ascii="Helvetica Neue" w:hAnsi="Helvetica Neue" w:cs="Arial"/>
                <w:b/>
                <w:color w:val="003D7D"/>
                <w:sz w:val="20"/>
              </w:rPr>
            </w:pPr>
            <w:proofErr w:type="spellStart"/>
            <w:r w:rsidRPr="005A4D2F">
              <w:rPr>
                <w:rFonts w:ascii="Helvetica Neue" w:hAnsi="Helvetica Neue" w:cs="Arial"/>
                <w:b/>
                <w:color w:val="003D7D"/>
                <w:sz w:val="20"/>
              </w:rPr>
              <w:t>i</w:t>
            </w:r>
            <w:proofErr w:type="spellEnd"/>
            <w:r w:rsidRPr="005A4D2F">
              <w:rPr>
                <w:rFonts w:ascii="Helvetica Neue" w:hAnsi="Helvetica Neue" w:cs="Arial"/>
                <w:b/>
                <w:color w:val="003D7D"/>
                <w:sz w:val="20"/>
              </w:rPr>
              <w:t>. Students are taught to apply and evaluate original or unconventional ideas, and to tackle problem solving using techniques designed to develop individual and group creativity, evidenced through assessment approaches which recognise and reward such thinking</w:t>
            </w:r>
          </w:p>
          <w:p w:rsidR="009F1C3F" w:rsidRPr="005A4D2F" w:rsidRDefault="009F1C3F" w:rsidP="0053034B">
            <w:pPr>
              <w:keepLines/>
              <w:rPr>
                <w:rFonts w:ascii="Helvetica Neue" w:hAnsi="Helvetica Neue" w:cs="Arial"/>
                <w:b/>
                <w:color w:val="003D7D"/>
                <w:sz w:val="20"/>
              </w:rPr>
            </w:pPr>
          </w:p>
        </w:tc>
        <w:tc>
          <w:tcPr>
            <w:tcW w:w="5563" w:type="dxa"/>
          </w:tcPr>
          <w:p w:rsidR="009F1C3F" w:rsidRPr="005A4D2F" w:rsidRDefault="009F1C3F" w:rsidP="0053034B">
            <w:pPr>
              <w:keepLines/>
              <w:rPr>
                <w:rFonts w:ascii="Helvetica Neue" w:hAnsi="Helvetica Neue" w:cs="Arial"/>
                <w:color w:val="003D7D"/>
                <w:sz w:val="20"/>
              </w:rPr>
            </w:pPr>
            <w:r w:rsidRPr="005A4D2F">
              <w:rPr>
                <w:rFonts w:ascii="Helvetica Neue" w:hAnsi="Helvetica Neue" w:cs="Arial"/>
                <w:color w:val="003D7D"/>
                <w:sz w:val="20"/>
              </w:rPr>
              <w:t xml:space="preserve">Institutions should make it clear how they promote creativity and creative problem solving, in the students’ programme of study, using techniques designed to develop individual and group creativity. </w:t>
            </w:r>
          </w:p>
          <w:p w:rsidR="009F1C3F" w:rsidRPr="0026604C" w:rsidRDefault="009F1C3F" w:rsidP="0053034B">
            <w:pPr>
              <w:keepLines/>
              <w:rPr>
                <w:rFonts w:ascii="Helvetica Neue" w:hAnsi="Helvetica Neue" w:cs="Arial"/>
                <w:color w:val="003D7D"/>
                <w:sz w:val="20"/>
              </w:rPr>
            </w:pPr>
          </w:p>
          <w:p w:rsidR="009F1C3F" w:rsidRPr="005A4D2F" w:rsidRDefault="009F1C3F" w:rsidP="0053034B">
            <w:pPr>
              <w:keepLines/>
              <w:rPr>
                <w:rFonts w:ascii="Helvetica Neue" w:hAnsi="Helvetica Neue" w:cs="Arial"/>
                <w:color w:val="003D7D"/>
                <w:sz w:val="20"/>
              </w:rPr>
            </w:pPr>
            <w:r w:rsidRPr="005A4D2F">
              <w:rPr>
                <w:rFonts w:ascii="Helvetica Neue" w:hAnsi="Helvetica Neue" w:cs="Arial"/>
                <w:color w:val="003D7D"/>
                <w:sz w:val="20"/>
              </w:rPr>
              <w:t xml:space="preserve">For group sessions there should be evidence that </w:t>
            </w:r>
            <w:r w:rsidRPr="005A4D2F">
              <w:rPr>
                <w:rFonts w:ascii="Helvetica Neue" w:hAnsi="Helvetica Neue" w:cs="Arial"/>
                <w:b/>
                <w:color w:val="003D7D"/>
                <w:sz w:val="20"/>
              </w:rPr>
              <w:t>students experience structured, constructive and inclusive approaches to creative problem solving</w:t>
            </w:r>
            <w:r w:rsidRPr="005A4D2F">
              <w:rPr>
                <w:rFonts w:ascii="Helvetica Neue" w:hAnsi="Helvetica Neue" w:cs="Arial"/>
                <w:color w:val="003D7D"/>
                <w:sz w:val="20"/>
              </w:rPr>
              <w:t>. When these activities are assessed, emphasis should be placed on students demonstrating how they have engaged with techniques designed to promote creativity in individuals, and the extent of their participation in group sessions. As an example for the former, students could be asked how they have utilised a specific technique during creative problem solving. Students should not be awarded marks solely on the basis of coming up with novel ideas, as this is frequently an unrealistic expectation.</w:t>
            </w:r>
          </w:p>
          <w:p w:rsidR="009F1C3F" w:rsidRPr="005A4D2F" w:rsidRDefault="009F1C3F" w:rsidP="0053034B">
            <w:pPr>
              <w:keepLines/>
              <w:rPr>
                <w:rFonts w:ascii="Helvetica Neue" w:hAnsi="Helvetica Neue" w:cs="Arial"/>
                <w:color w:val="003D7D"/>
                <w:sz w:val="20"/>
              </w:rPr>
            </w:pPr>
          </w:p>
        </w:tc>
      </w:tr>
      <w:tr w:rsidR="009F1C3F" w:rsidRPr="005A4D2F" w:rsidTr="009F1C3F">
        <w:trPr>
          <w:jc w:val="center"/>
        </w:trPr>
        <w:tc>
          <w:tcPr>
            <w:tcW w:w="4293" w:type="dxa"/>
          </w:tcPr>
          <w:p w:rsidR="009F1C3F" w:rsidRPr="005A4D2F" w:rsidRDefault="009F1C3F" w:rsidP="0053034B">
            <w:pPr>
              <w:keepLines/>
              <w:rPr>
                <w:rFonts w:ascii="Helvetica Neue" w:hAnsi="Helvetica Neue" w:cs="Arial"/>
                <w:b/>
                <w:color w:val="003D7D"/>
                <w:sz w:val="20"/>
              </w:rPr>
            </w:pPr>
          </w:p>
          <w:p w:rsidR="009F1C3F" w:rsidRPr="005A4D2F" w:rsidRDefault="009F1C3F" w:rsidP="0053034B">
            <w:pPr>
              <w:keepLines/>
              <w:rPr>
                <w:rFonts w:ascii="Helvetica Neue" w:hAnsi="Helvetica Neue" w:cs="Arial"/>
                <w:b/>
                <w:color w:val="003D7D"/>
                <w:sz w:val="20"/>
              </w:rPr>
            </w:pPr>
            <w:r w:rsidRPr="005A4D2F">
              <w:rPr>
                <w:rFonts w:ascii="Helvetica Neue" w:hAnsi="Helvetica Neue" w:cs="Arial"/>
                <w:b/>
                <w:color w:val="003D7D"/>
                <w:sz w:val="20"/>
              </w:rPr>
              <w:t>ii. Graduates are expected to have an understanding, embedded in the teaching of their subject(s), of:</w:t>
            </w:r>
          </w:p>
          <w:p w:rsidR="009F1C3F" w:rsidRPr="005A4D2F" w:rsidRDefault="009F1C3F" w:rsidP="0053034B">
            <w:pPr>
              <w:keepLines/>
              <w:rPr>
                <w:rFonts w:ascii="Helvetica Neue" w:hAnsi="Helvetica Neue" w:cs="Arial"/>
                <w:b/>
                <w:color w:val="003D7D"/>
                <w:sz w:val="20"/>
              </w:rPr>
            </w:pPr>
          </w:p>
        </w:tc>
        <w:tc>
          <w:tcPr>
            <w:tcW w:w="5563" w:type="dxa"/>
          </w:tcPr>
          <w:p w:rsidR="009F1C3F" w:rsidRPr="005A4D2F" w:rsidRDefault="009F1C3F" w:rsidP="0053034B">
            <w:pPr>
              <w:keepLines/>
              <w:rPr>
                <w:rFonts w:ascii="Helvetica Neue" w:hAnsi="Helvetica Neue" w:cs="Arial"/>
                <w:color w:val="003D7D"/>
                <w:sz w:val="20"/>
              </w:rPr>
            </w:pPr>
            <w:r w:rsidRPr="005A4D2F">
              <w:rPr>
                <w:rFonts w:ascii="Helvetica Neue" w:hAnsi="Helvetica Neue" w:cs="Arial"/>
                <w:color w:val="003D7D"/>
                <w:sz w:val="20"/>
              </w:rPr>
              <w:t xml:space="preserve">As well as an environment which promotes enterprise and entrepreneurship, there are some key learning points which students should be exposed to in order to aid their understanding of the post-degree work environment. </w:t>
            </w:r>
          </w:p>
          <w:p w:rsidR="009F1C3F" w:rsidRPr="005A4D2F" w:rsidRDefault="009F1C3F" w:rsidP="0053034B">
            <w:pPr>
              <w:keepLines/>
              <w:rPr>
                <w:rFonts w:ascii="Helvetica Neue" w:hAnsi="Helvetica Neue" w:cs="Arial"/>
                <w:color w:val="003D7D"/>
                <w:sz w:val="20"/>
              </w:rPr>
            </w:pPr>
          </w:p>
          <w:p w:rsidR="009F1C3F" w:rsidRPr="005A4D2F" w:rsidRDefault="009F1C3F" w:rsidP="0053034B">
            <w:pPr>
              <w:keepLines/>
              <w:rPr>
                <w:rFonts w:ascii="Helvetica Neue" w:hAnsi="Helvetica Neue" w:cs="Arial"/>
                <w:color w:val="003D7D"/>
                <w:sz w:val="20"/>
              </w:rPr>
            </w:pPr>
            <w:r w:rsidRPr="005A4D2F">
              <w:rPr>
                <w:rFonts w:ascii="Helvetica Neue" w:hAnsi="Helvetica Neue" w:cs="Arial"/>
                <w:color w:val="003D7D"/>
                <w:sz w:val="20"/>
              </w:rPr>
              <w:t xml:space="preserve">This learning </w:t>
            </w:r>
            <w:r w:rsidRPr="005A4D2F">
              <w:rPr>
                <w:rFonts w:ascii="Helvetica Neue" w:hAnsi="Helvetica Neue" w:cs="Arial"/>
                <w:b/>
                <w:color w:val="003D7D"/>
                <w:sz w:val="20"/>
              </w:rPr>
              <w:t>should not solely be in addition to current curricula</w:t>
            </w:r>
            <w:r w:rsidRPr="005A4D2F">
              <w:rPr>
                <w:rFonts w:ascii="Helvetica Neue" w:hAnsi="Helvetica Neue" w:cs="Arial"/>
                <w:color w:val="003D7D"/>
                <w:sz w:val="20"/>
              </w:rPr>
              <w:t>, which would lead to student overload, but should look at current curricula and approaches to see how they can be adapted to address the skills and knowledge cited.</w:t>
            </w:r>
          </w:p>
          <w:p w:rsidR="009F1C3F" w:rsidRPr="005A4D2F" w:rsidRDefault="009F1C3F" w:rsidP="0053034B">
            <w:pPr>
              <w:keepLines/>
              <w:rPr>
                <w:rFonts w:ascii="Helvetica Neue" w:hAnsi="Helvetica Neue" w:cs="Arial"/>
                <w:color w:val="003D7D"/>
                <w:sz w:val="20"/>
              </w:rPr>
            </w:pPr>
          </w:p>
        </w:tc>
      </w:tr>
      <w:tr w:rsidR="009F1C3F" w:rsidRPr="005A4D2F" w:rsidTr="009F1C3F">
        <w:trPr>
          <w:jc w:val="center"/>
        </w:trPr>
        <w:tc>
          <w:tcPr>
            <w:tcW w:w="4293" w:type="dxa"/>
          </w:tcPr>
          <w:p w:rsidR="009F1C3F" w:rsidRPr="005A4D2F" w:rsidRDefault="009F1C3F" w:rsidP="0053034B">
            <w:pPr>
              <w:keepLines/>
              <w:rPr>
                <w:rFonts w:ascii="Helvetica Neue" w:hAnsi="Helvetica Neue" w:cs="Arial"/>
                <w:b/>
                <w:color w:val="003D7D"/>
                <w:sz w:val="20"/>
              </w:rPr>
            </w:pPr>
          </w:p>
          <w:p w:rsidR="009F1C3F" w:rsidRPr="005A4D2F" w:rsidRDefault="009F1C3F" w:rsidP="0053034B">
            <w:pPr>
              <w:keepLines/>
              <w:rPr>
                <w:rFonts w:ascii="Helvetica Neue" w:hAnsi="Helvetica Neue" w:cs="Arial"/>
                <w:b/>
                <w:color w:val="003D7D"/>
                <w:sz w:val="20"/>
              </w:rPr>
            </w:pPr>
            <w:r w:rsidRPr="005A4D2F">
              <w:rPr>
                <w:rFonts w:ascii="Helvetica Neue" w:hAnsi="Helvetica Neue" w:cs="Arial"/>
                <w:b/>
                <w:color w:val="003D7D"/>
                <w:sz w:val="20"/>
              </w:rPr>
              <w:t>a. A contextualised learning experience using real-world scenarios to gain better alignment with expected key employability skills</w:t>
            </w:r>
          </w:p>
          <w:p w:rsidR="009F1C3F" w:rsidRPr="005A4D2F" w:rsidRDefault="009F1C3F" w:rsidP="0053034B">
            <w:pPr>
              <w:keepLines/>
              <w:rPr>
                <w:rFonts w:ascii="Helvetica Neue" w:hAnsi="Helvetica Neue" w:cs="Arial"/>
                <w:b/>
                <w:color w:val="003D7D"/>
                <w:sz w:val="20"/>
              </w:rPr>
            </w:pPr>
          </w:p>
        </w:tc>
        <w:tc>
          <w:tcPr>
            <w:tcW w:w="5563" w:type="dxa"/>
          </w:tcPr>
          <w:p w:rsidR="009F1C3F" w:rsidRPr="005A4D2F" w:rsidRDefault="009F1C3F" w:rsidP="0053034B">
            <w:pPr>
              <w:keepLines/>
              <w:rPr>
                <w:rFonts w:ascii="Helvetica Neue" w:hAnsi="Helvetica Neue" w:cs="Arial"/>
                <w:color w:val="003D7D"/>
                <w:sz w:val="20"/>
              </w:rPr>
            </w:pPr>
            <w:r w:rsidRPr="005A4D2F">
              <w:rPr>
                <w:rFonts w:ascii="Helvetica Neue" w:hAnsi="Helvetica Neue" w:cs="Arial"/>
                <w:color w:val="003D7D"/>
                <w:sz w:val="20"/>
              </w:rPr>
              <w:t xml:space="preserve">Students learn through application and practice as well as real-life case studies: there are many areas of the life sciences where principles can be taught by reference to "real-world" examples. This can often be done by inviting external </w:t>
            </w:r>
            <w:r w:rsidRPr="0026604C">
              <w:rPr>
                <w:rFonts w:ascii="Helvetica Neue" w:hAnsi="Helvetica Neue" w:cs="Arial"/>
                <w:color w:val="003D7D"/>
                <w:sz w:val="20"/>
              </w:rPr>
              <w:t>specialist</w:t>
            </w:r>
            <w:r>
              <w:rPr>
                <w:rFonts w:ascii="Helvetica Neue" w:hAnsi="Helvetica Neue" w:cs="Arial"/>
                <w:color w:val="003D7D"/>
                <w:sz w:val="20"/>
              </w:rPr>
              <w:t>s</w:t>
            </w:r>
            <w:r w:rsidRPr="005A4D2F">
              <w:rPr>
                <w:rFonts w:ascii="Helvetica Neue" w:hAnsi="Helvetica Neue" w:cs="Arial"/>
                <w:color w:val="003D7D"/>
                <w:sz w:val="20"/>
              </w:rPr>
              <w:t xml:space="preserve"> and employers to show how the basic science relates to their industry, for </w:t>
            </w:r>
            <w:r w:rsidRPr="0026604C">
              <w:rPr>
                <w:rFonts w:ascii="Helvetica Neue" w:hAnsi="Helvetica Neue" w:cs="Arial"/>
                <w:color w:val="003D7D"/>
                <w:sz w:val="20"/>
              </w:rPr>
              <w:t>instance</w:t>
            </w:r>
            <w:r w:rsidRPr="005A4D2F">
              <w:rPr>
                <w:rFonts w:ascii="Helvetica Neue" w:hAnsi="Helvetica Neue" w:cs="Arial"/>
                <w:color w:val="003D7D"/>
                <w:sz w:val="20"/>
              </w:rPr>
              <w:t xml:space="preserve"> using Enterprise Masterclasses. Employers seek an awareness of the wider context and how to develop graduates' skills for that wider context, and HEIs are charged with preparing their students for that world.</w:t>
            </w:r>
          </w:p>
          <w:p w:rsidR="009F1C3F" w:rsidRPr="005A4D2F" w:rsidRDefault="009F1C3F" w:rsidP="0053034B">
            <w:pPr>
              <w:keepLines/>
              <w:rPr>
                <w:rFonts w:ascii="Helvetica Neue" w:hAnsi="Helvetica Neue" w:cs="Arial"/>
                <w:color w:val="003D7D"/>
                <w:sz w:val="20"/>
              </w:rPr>
            </w:pPr>
          </w:p>
        </w:tc>
      </w:tr>
      <w:tr w:rsidR="009F1C3F" w:rsidRPr="005A4D2F" w:rsidTr="009F1C3F">
        <w:trPr>
          <w:jc w:val="center"/>
        </w:trPr>
        <w:tc>
          <w:tcPr>
            <w:tcW w:w="4293" w:type="dxa"/>
          </w:tcPr>
          <w:p w:rsidR="009F1C3F" w:rsidRPr="005A4D2F" w:rsidRDefault="009F1C3F" w:rsidP="0053034B">
            <w:pPr>
              <w:keepLines/>
              <w:rPr>
                <w:rFonts w:ascii="Helvetica Neue" w:hAnsi="Helvetica Neue" w:cs="Arial"/>
                <w:b/>
                <w:color w:val="003D7D"/>
                <w:sz w:val="20"/>
              </w:rPr>
            </w:pPr>
          </w:p>
          <w:p w:rsidR="009F1C3F" w:rsidRPr="005A4D2F" w:rsidRDefault="009F1C3F" w:rsidP="0053034B">
            <w:pPr>
              <w:keepLines/>
              <w:rPr>
                <w:rFonts w:ascii="Helvetica Neue" w:hAnsi="Helvetica Neue" w:cs="Arial"/>
                <w:b/>
                <w:color w:val="003D7D"/>
                <w:sz w:val="20"/>
              </w:rPr>
            </w:pPr>
            <w:r w:rsidRPr="005A4D2F">
              <w:rPr>
                <w:rFonts w:ascii="Helvetica Neue" w:hAnsi="Helvetica Neue" w:cs="Arial"/>
                <w:b/>
                <w:color w:val="003D7D"/>
                <w:sz w:val="20"/>
              </w:rPr>
              <w:t>b. The notion and value of intellectual property</w:t>
            </w:r>
          </w:p>
          <w:p w:rsidR="009F1C3F" w:rsidRPr="005A4D2F" w:rsidRDefault="009F1C3F" w:rsidP="0053034B">
            <w:pPr>
              <w:keepLines/>
              <w:rPr>
                <w:rFonts w:ascii="Helvetica Neue" w:hAnsi="Helvetica Neue" w:cs="Arial"/>
                <w:b/>
                <w:color w:val="003D7D"/>
                <w:sz w:val="20"/>
              </w:rPr>
            </w:pPr>
          </w:p>
        </w:tc>
        <w:tc>
          <w:tcPr>
            <w:tcW w:w="5563" w:type="dxa"/>
          </w:tcPr>
          <w:p w:rsidR="009F1C3F" w:rsidRPr="005A4D2F" w:rsidRDefault="009F1C3F" w:rsidP="0053034B">
            <w:pPr>
              <w:keepLines/>
              <w:rPr>
                <w:rFonts w:ascii="Helvetica Neue" w:hAnsi="Helvetica Neue" w:cs="Arial"/>
                <w:color w:val="003D7D"/>
                <w:sz w:val="20"/>
              </w:rPr>
            </w:pPr>
            <w:r w:rsidRPr="005A4D2F">
              <w:rPr>
                <w:rFonts w:ascii="Helvetica Neue" w:hAnsi="Helvetica Neue" w:cs="Arial"/>
                <w:color w:val="003D7D"/>
                <w:sz w:val="20"/>
              </w:rPr>
              <w:t xml:space="preserve">Intellectual </w:t>
            </w:r>
            <w:r>
              <w:rPr>
                <w:rFonts w:ascii="Helvetica Neue" w:hAnsi="Helvetica Neue" w:cs="Arial"/>
                <w:color w:val="003D7D"/>
                <w:sz w:val="20"/>
              </w:rPr>
              <w:t>p</w:t>
            </w:r>
            <w:r w:rsidRPr="005A4D2F">
              <w:rPr>
                <w:rFonts w:ascii="Helvetica Neue" w:hAnsi="Helvetica Neue" w:cs="Arial"/>
                <w:color w:val="003D7D"/>
                <w:sz w:val="20"/>
              </w:rPr>
              <w:t>roperty drives the economic engines of innovation - students should understand how IP rights work locally and more widely outside the UK, why IP is important for development, and how to protect it.</w:t>
            </w:r>
          </w:p>
          <w:p w:rsidR="009F1C3F" w:rsidRPr="005A4D2F" w:rsidRDefault="009F1C3F" w:rsidP="0053034B">
            <w:pPr>
              <w:keepLines/>
              <w:rPr>
                <w:rFonts w:ascii="Helvetica Neue" w:hAnsi="Helvetica Neue" w:cs="Arial"/>
                <w:color w:val="003D7D"/>
                <w:sz w:val="20"/>
              </w:rPr>
            </w:pPr>
          </w:p>
        </w:tc>
      </w:tr>
      <w:tr w:rsidR="009F1C3F" w:rsidRPr="005A4D2F" w:rsidTr="009F1C3F">
        <w:trPr>
          <w:jc w:val="center"/>
        </w:trPr>
        <w:tc>
          <w:tcPr>
            <w:tcW w:w="4293" w:type="dxa"/>
          </w:tcPr>
          <w:p w:rsidR="009F1C3F" w:rsidRPr="005A4D2F" w:rsidRDefault="009F1C3F" w:rsidP="0053034B">
            <w:pPr>
              <w:keepLines/>
              <w:rPr>
                <w:rFonts w:ascii="Helvetica Neue" w:hAnsi="Helvetica Neue" w:cs="Arial"/>
                <w:b/>
                <w:color w:val="003D7D"/>
                <w:sz w:val="20"/>
              </w:rPr>
            </w:pPr>
          </w:p>
          <w:p w:rsidR="009F1C3F" w:rsidRPr="005A4D2F" w:rsidRDefault="009F1C3F" w:rsidP="0053034B">
            <w:pPr>
              <w:keepLines/>
              <w:rPr>
                <w:rFonts w:ascii="Helvetica Neue" w:hAnsi="Helvetica Neue" w:cs="Arial"/>
                <w:b/>
                <w:color w:val="003D7D"/>
                <w:sz w:val="20"/>
              </w:rPr>
            </w:pPr>
            <w:r w:rsidRPr="005A4D2F">
              <w:rPr>
                <w:rFonts w:ascii="Helvetica Neue" w:hAnsi="Helvetica Neue" w:cs="Arial"/>
                <w:b/>
                <w:color w:val="003D7D"/>
                <w:sz w:val="20"/>
              </w:rPr>
              <w:t>c. The importance of evaluating feasibility and impact through a reflective approach</w:t>
            </w:r>
          </w:p>
          <w:p w:rsidR="009F1C3F" w:rsidRPr="005A4D2F" w:rsidRDefault="009F1C3F" w:rsidP="0053034B">
            <w:pPr>
              <w:keepLines/>
              <w:rPr>
                <w:rFonts w:ascii="Helvetica Neue" w:hAnsi="Helvetica Neue" w:cs="Arial"/>
                <w:b/>
                <w:color w:val="003D7D"/>
                <w:sz w:val="20"/>
              </w:rPr>
            </w:pPr>
            <w:r w:rsidRPr="005A4D2F">
              <w:rPr>
                <w:rFonts w:ascii="Helvetica Neue" w:hAnsi="Helvetica Neue" w:cs="Arial"/>
                <w:b/>
                <w:color w:val="003D7D"/>
                <w:sz w:val="20"/>
              </w:rPr>
              <w:t>d. The interdisciplinary nature of enterprise</w:t>
            </w:r>
          </w:p>
          <w:p w:rsidR="009F1C3F" w:rsidRPr="005A4D2F" w:rsidRDefault="009F1C3F" w:rsidP="0053034B">
            <w:pPr>
              <w:keepLines/>
              <w:rPr>
                <w:rFonts w:ascii="Helvetica Neue" w:hAnsi="Helvetica Neue" w:cs="Arial"/>
                <w:b/>
                <w:color w:val="003D7D"/>
                <w:sz w:val="20"/>
              </w:rPr>
            </w:pPr>
            <w:r w:rsidRPr="005A4D2F">
              <w:rPr>
                <w:rFonts w:ascii="Helvetica Neue" w:hAnsi="Helvetica Neue" w:cs="Arial"/>
                <w:b/>
                <w:color w:val="003D7D"/>
                <w:sz w:val="20"/>
              </w:rPr>
              <w:t>e. Financial literacy in the context of developing commercial awareness</w:t>
            </w:r>
          </w:p>
        </w:tc>
        <w:tc>
          <w:tcPr>
            <w:tcW w:w="5563" w:type="dxa"/>
          </w:tcPr>
          <w:p w:rsidR="009F1C3F" w:rsidRPr="005A4D2F" w:rsidRDefault="009F1C3F" w:rsidP="0053034B">
            <w:pPr>
              <w:keepLines/>
              <w:rPr>
                <w:rFonts w:ascii="Helvetica Neue" w:hAnsi="Helvetica Neue" w:cs="Arial"/>
                <w:color w:val="003D7D"/>
                <w:sz w:val="20"/>
              </w:rPr>
            </w:pPr>
            <w:r w:rsidRPr="005A4D2F">
              <w:rPr>
                <w:rFonts w:ascii="Helvetica Neue" w:hAnsi="Helvetica Neue" w:cs="Arial"/>
                <w:color w:val="003D7D"/>
                <w:sz w:val="20"/>
              </w:rPr>
              <w:t>HEIs will recognise that these three areas are intrinsic to scientific research and the use of that research.</w:t>
            </w:r>
          </w:p>
          <w:p w:rsidR="009F1C3F" w:rsidRPr="005A4D2F" w:rsidRDefault="009F1C3F" w:rsidP="0053034B">
            <w:pPr>
              <w:keepLines/>
              <w:rPr>
                <w:rFonts w:ascii="Helvetica Neue" w:hAnsi="Helvetica Neue" w:cs="Arial"/>
                <w:color w:val="003D7D"/>
                <w:sz w:val="20"/>
              </w:rPr>
            </w:pPr>
          </w:p>
        </w:tc>
      </w:tr>
    </w:tbl>
    <w:p w:rsidR="00704E42" w:rsidRPr="005A4D2F" w:rsidRDefault="00704E42" w:rsidP="00704E42">
      <w:pPr>
        <w:spacing w:after="0" w:line="240" w:lineRule="auto"/>
        <w:rPr>
          <w:rFonts w:ascii="Helvetica Neue" w:hAnsi="Helvetica Neue" w:cs="Arial"/>
          <w:color w:val="808080" w:themeColor="background1" w:themeShade="80"/>
          <w:sz w:val="14"/>
        </w:rPr>
      </w:pPr>
    </w:p>
    <w:p w:rsidR="00704E42" w:rsidRDefault="00704E42" w:rsidP="00704E42">
      <w:pPr>
        <w:spacing w:after="0" w:line="240" w:lineRule="auto"/>
        <w:rPr>
          <w:rFonts w:ascii="Helvetica Neue" w:hAnsi="Helvetica Neue" w:cs="Arial"/>
          <w:color w:val="003D7D"/>
          <w:sz w:val="20"/>
        </w:rPr>
      </w:pPr>
      <w:r w:rsidRPr="005A4D2F">
        <w:rPr>
          <w:rFonts w:ascii="Helvetica Neue" w:hAnsi="Helvetica Neue" w:cs="Arial"/>
          <w:color w:val="808080" w:themeColor="background1" w:themeShade="80"/>
          <w:sz w:val="14"/>
        </w:rPr>
        <w:t>4 Enterprise and Entrepreneurship Education: Guidance for UK Higher Education Providers, January 2018, QAA</w:t>
      </w:r>
      <w:r w:rsidRPr="0026604C">
        <w:rPr>
          <w:rFonts w:ascii="Helvetica Neue" w:hAnsi="Helvetica Neue" w:cs="Arial"/>
          <w:color w:val="003D7D"/>
          <w:sz w:val="20"/>
        </w:rPr>
        <w:t xml:space="preserve"> </w:t>
      </w:r>
    </w:p>
    <w:p w:rsidR="00704E42" w:rsidRDefault="00704E42" w:rsidP="00704E42"/>
    <w:p w:rsidR="00704E42" w:rsidRDefault="00704E42" w:rsidP="00704E42"/>
    <w:p w:rsidR="00704E42" w:rsidRDefault="00704E42" w:rsidP="00704E42"/>
    <w:p w:rsidR="00704E42" w:rsidRDefault="00704E42" w:rsidP="00704E42"/>
    <w:p w:rsidR="00F75A32" w:rsidRDefault="00F75A32" w:rsidP="00704E42"/>
    <w:p w:rsidR="000C623F" w:rsidRPr="000C623F" w:rsidRDefault="000C623F" w:rsidP="000C623F">
      <w:pPr>
        <w:pStyle w:val="Heading1"/>
        <w:spacing w:before="0" w:line="240" w:lineRule="auto"/>
        <w:rPr>
          <w:rFonts w:ascii="Helvetica Neue" w:hAnsi="Helvetica Neue"/>
          <w:color w:val="48A942"/>
        </w:rPr>
      </w:pPr>
      <w:bookmarkStart w:id="6" w:name="_Toc5886596"/>
      <w:r w:rsidRPr="000C623F">
        <w:rPr>
          <w:rFonts w:ascii="Helvetica Neue" w:hAnsi="Helvetica Neue"/>
          <w:color w:val="48A942"/>
          <w:sz w:val="48"/>
        </w:rPr>
        <w:t>Annex 1 – Further guidance for the capstone experience</w:t>
      </w:r>
      <w:bookmarkEnd w:id="6"/>
    </w:p>
    <w:p w:rsidR="00F75A32" w:rsidRDefault="00F75A32" w:rsidP="000C623F">
      <w:pPr>
        <w:spacing w:after="0" w:line="240" w:lineRule="auto"/>
      </w:pPr>
    </w:p>
    <w:p w:rsidR="00F75A32" w:rsidRPr="00161454" w:rsidRDefault="00F75A32" w:rsidP="000C623F">
      <w:pPr>
        <w:spacing w:after="0" w:line="240" w:lineRule="auto"/>
        <w:rPr>
          <w:color w:val="003D7D"/>
        </w:rPr>
      </w:pPr>
      <w:r w:rsidRPr="00161454">
        <w:rPr>
          <w:rFonts w:ascii="Helvetica Neue" w:hAnsi="Helvetica Neue"/>
          <w:b/>
          <w:bCs/>
          <w:color w:val="48A942"/>
          <w:sz w:val="20"/>
          <w:szCs w:val="20"/>
        </w:rPr>
        <w:t>The type of c</w:t>
      </w:r>
      <w:r w:rsidRPr="000C623F">
        <w:rPr>
          <w:rFonts w:ascii="Helvetica Neue" w:hAnsi="Helvetica Neue"/>
          <w:b/>
          <w:bCs/>
          <w:color w:val="48A942"/>
          <w:sz w:val="20"/>
          <w:szCs w:val="20"/>
        </w:rPr>
        <w:t xml:space="preserve">apstone </w:t>
      </w:r>
      <w:r w:rsidRPr="00161454">
        <w:rPr>
          <w:rFonts w:ascii="Helvetica Neue" w:hAnsi="Helvetica Neue"/>
          <w:b/>
          <w:bCs/>
          <w:color w:val="48A942"/>
          <w:sz w:val="20"/>
          <w:szCs w:val="20"/>
        </w:rPr>
        <w:t xml:space="preserve">experience </w:t>
      </w:r>
    </w:p>
    <w:p w:rsidR="00F75A32" w:rsidRPr="00161454" w:rsidRDefault="00F75A32" w:rsidP="000C623F">
      <w:pPr>
        <w:spacing w:after="0" w:line="240" w:lineRule="auto"/>
        <w:rPr>
          <w:color w:val="003D7D"/>
        </w:rPr>
      </w:pPr>
      <w:r w:rsidRPr="00161454">
        <w:rPr>
          <w:rFonts w:ascii="Helvetica Neue" w:hAnsi="Helvetica Neue"/>
          <w:color w:val="003D7D"/>
          <w:sz w:val="20"/>
          <w:szCs w:val="20"/>
        </w:rPr>
        <w:t>Many types of level 6 capstone experiences can be devised that can fulfil the criterion for a capstone experience (e.g. laboratory or field-based, critical review, pedagogic, computer-based, socio-biological and biogeographical research). The important factor in deciding whether these represent a capstone experience is the presence of independently sourced information that is critically analysed. Some examples of non-traditional capstone experiences might include the following:</w:t>
      </w:r>
    </w:p>
    <w:p w:rsidR="00F75A32" w:rsidRPr="00161454" w:rsidRDefault="00F75A32" w:rsidP="000C623F">
      <w:pPr>
        <w:spacing w:after="0" w:line="240" w:lineRule="auto"/>
        <w:rPr>
          <w:color w:val="003D7D"/>
        </w:rPr>
      </w:pPr>
      <w:r w:rsidRPr="00161454">
        <w:rPr>
          <w:rFonts w:ascii="Helvetica Neue" w:hAnsi="Helvetica Neue"/>
          <w:color w:val="003D7D"/>
          <w:sz w:val="20"/>
          <w:szCs w:val="20"/>
        </w:rPr>
        <w:t> </w:t>
      </w:r>
    </w:p>
    <w:p w:rsidR="00F75A32" w:rsidRPr="000C623F" w:rsidRDefault="00F75A32" w:rsidP="000C623F">
      <w:pPr>
        <w:pStyle w:val="ListParagraph"/>
        <w:numPr>
          <w:ilvl w:val="0"/>
          <w:numId w:val="2"/>
        </w:numPr>
        <w:spacing w:after="0" w:line="240" w:lineRule="auto"/>
        <w:contextualSpacing w:val="0"/>
        <w:rPr>
          <w:color w:val="003D7D"/>
        </w:rPr>
      </w:pPr>
      <w:r w:rsidRPr="00161454">
        <w:rPr>
          <w:rFonts w:ascii="Helvetica Neue" w:hAnsi="Helvetica Neue"/>
          <w:color w:val="003D7D"/>
          <w:sz w:val="20"/>
          <w:szCs w:val="20"/>
        </w:rPr>
        <w:t xml:space="preserve">Informatics capstone experiences. These may use computer-held, information databases that are ecological, molecular, physiological, epidemiological or taxonomical in nature, which can be investigated using software to identify trends or relationships or processes. In this type of capstone experience, the primary data already exists in one form but it has to be found, manipulated and analysed so that conclusions may be reached. </w:t>
      </w:r>
    </w:p>
    <w:p w:rsidR="000C623F" w:rsidRPr="00161454" w:rsidRDefault="000C623F" w:rsidP="000C623F">
      <w:pPr>
        <w:pStyle w:val="ListParagraph"/>
        <w:spacing w:after="0" w:line="240" w:lineRule="auto"/>
        <w:contextualSpacing w:val="0"/>
        <w:rPr>
          <w:color w:val="003D7D"/>
        </w:rPr>
      </w:pPr>
    </w:p>
    <w:p w:rsidR="00F75A32" w:rsidRDefault="00F75A32" w:rsidP="000C623F">
      <w:pPr>
        <w:pStyle w:val="ListParagraph"/>
        <w:numPr>
          <w:ilvl w:val="0"/>
          <w:numId w:val="2"/>
        </w:numPr>
        <w:spacing w:after="0" w:line="240" w:lineRule="auto"/>
        <w:contextualSpacing w:val="0"/>
        <w:rPr>
          <w:rFonts w:ascii="Helvetica Neue" w:hAnsi="Helvetica Neue"/>
          <w:color w:val="003D7D"/>
          <w:sz w:val="20"/>
          <w:szCs w:val="20"/>
        </w:rPr>
      </w:pPr>
      <w:r w:rsidRPr="00161454">
        <w:rPr>
          <w:rFonts w:ascii="Helvetica Neue" w:hAnsi="Helvetica Neue"/>
          <w:color w:val="003D7D"/>
          <w:sz w:val="20"/>
          <w:szCs w:val="20"/>
        </w:rPr>
        <w:t xml:space="preserve">Science education capstone experiences. These may create new ways of imparting knowledge and will include analysis of the reaction to, or success of, a particular pedagogic approach or method. </w:t>
      </w:r>
    </w:p>
    <w:p w:rsidR="000C623F" w:rsidRPr="000C623F" w:rsidRDefault="000C623F" w:rsidP="000C623F">
      <w:pPr>
        <w:spacing w:after="0" w:line="240" w:lineRule="auto"/>
        <w:rPr>
          <w:rFonts w:ascii="Helvetica Neue" w:hAnsi="Helvetica Neue"/>
          <w:color w:val="003D7D"/>
          <w:sz w:val="20"/>
          <w:szCs w:val="20"/>
        </w:rPr>
      </w:pPr>
    </w:p>
    <w:p w:rsidR="00F75A32" w:rsidRPr="000C623F" w:rsidRDefault="00F75A32" w:rsidP="000C623F">
      <w:pPr>
        <w:pStyle w:val="ListParagraph"/>
        <w:numPr>
          <w:ilvl w:val="0"/>
          <w:numId w:val="2"/>
        </w:numPr>
        <w:spacing w:after="0" w:line="240" w:lineRule="auto"/>
        <w:contextualSpacing w:val="0"/>
        <w:rPr>
          <w:color w:val="003D7D"/>
        </w:rPr>
      </w:pPr>
      <w:r w:rsidRPr="00161454">
        <w:rPr>
          <w:rFonts w:ascii="Helvetica Neue" w:hAnsi="Helvetica Neue"/>
          <w:color w:val="003D7D"/>
          <w:sz w:val="20"/>
          <w:szCs w:val="20"/>
        </w:rPr>
        <w:t>Public engagement capstone experiences. These may involve the creation, delivery and critical evaluation of new ways of engaging (i.e. two-way communication) the public with science.</w:t>
      </w:r>
    </w:p>
    <w:p w:rsidR="000C623F" w:rsidRPr="000C623F" w:rsidRDefault="000C623F" w:rsidP="000C623F">
      <w:pPr>
        <w:spacing w:after="0" w:line="240" w:lineRule="auto"/>
        <w:rPr>
          <w:color w:val="003D7D"/>
        </w:rPr>
      </w:pPr>
    </w:p>
    <w:p w:rsidR="00F75A32" w:rsidRPr="000C623F" w:rsidRDefault="00F75A32" w:rsidP="000C623F">
      <w:pPr>
        <w:pStyle w:val="ListParagraph"/>
        <w:numPr>
          <w:ilvl w:val="0"/>
          <w:numId w:val="2"/>
        </w:numPr>
        <w:spacing w:after="0" w:line="240" w:lineRule="auto"/>
        <w:contextualSpacing w:val="0"/>
        <w:rPr>
          <w:color w:val="003D7D"/>
        </w:rPr>
      </w:pPr>
      <w:r w:rsidRPr="00161454">
        <w:rPr>
          <w:rFonts w:ascii="Helvetica Neue" w:hAnsi="Helvetica Neue"/>
          <w:color w:val="003D7D"/>
          <w:sz w:val="20"/>
          <w:szCs w:val="20"/>
        </w:rPr>
        <w:t>Questionnaire-based capstone experiences. These may find out what is known or not known, acted on, or understood about a process or treatment. They may test an idea by asking and analysing the answer to questions. A hypothesis is required, with ethical or other matters considered and response data generated and analysed.</w:t>
      </w:r>
    </w:p>
    <w:p w:rsidR="000C623F" w:rsidRPr="000C623F" w:rsidRDefault="000C623F" w:rsidP="000C623F">
      <w:pPr>
        <w:spacing w:after="0" w:line="240" w:lineRule="auto"/>
        <w:rPr>
          <w:color w:val="003D7D"/>
        </w:rPr>
      </w:pPr>
    </w:p>
    <w:p w:rsidR="00F75A32" w:rsidRPr="00161454" w:rsidRDefault="00F75A32" w:rsidP="000C623F">
      <w:pPr>
        <w:spacing w:after="0" w:line="240" w:lineRule="auto"/>
        <w:rPr>
          <w:color w:val="003D7D"/>
        </w:rPr>
      </w:pPr>
      <w:r w:rsidRPr="00161454">
        <w:rPr>
          <w:rFonts w:ascii="Helvetica Neue" w:hAnsi="Helvetica Neue"/>
          <w:color w:val="003D7D"/>
          <w:sz w:val="20"/>
          <w:szCs w:val="20"/>
        </w:rPr>
        <w:t>This guidance note is cautious about use of the word “dissertation” as it is used differently across HEIs. It may for example be a term used to describe the submitted written report following a period of laboratory/field research or it could be used to describe a literature review. Panel members will need to be confident about how an applicant uses the term and may need to seek clarification when considering an application.</w:t>
      </w:r>
    </w:p>
    <w:p w:rsidR="00F75A32" w:rsidRPr="00161454" w:rsidRDefault="00F75A32" w:rsidP="000C623F">
      <w:pPr>
        <w:spacing w:after="0" w:line="240" w:lineRule="auto"/>
      </w:pPr>
    </w:p>
    <w:p w:rsidR="00F75A32" w:rsidRPr="00161454" w:rsidRDefault="00F75A32" w:rsidP="000C623F">
      <w:pPr>
        <w:spacing w:after="0" w:line="240" w:lineRule="auto"/>
        <w:rPr>
          <w:rFonts w:ascii="Helvetica Neue" w:hAnsi="Helvetica Neue"/>
          <w:color w:val="003D7D"/>
          <w:sz w:val="20"/>
          <w:szCs w:val="20"/>
        </w:rPr>
      </w:pPr>
      <w:r w:rsidRPr="00161454">
        <w:rPr>
          <w:rFonts w:ascii="Helvetica Neue" w:hAnsi="Helvetica Neue"/>
          <w:color w:val="003D7D"/>
          <w:sz w:val="20"/>
          <w:szCs w:val="20"/>
        </w:rPr>
        <w:t>Whilst straight literature-based reviews of a topic do not qualify as a capstone experience because they typically lack a reinterpretation of the primary data, hypothesis driven critical reviews of the literature are permitted as, to address the hypothesis, students are required to critically evaluate and interpret literature and information. Similarly, systematic reviews (e.g. of clinical trials, healthcare intervention or scientific information), with or without meta-analysis of data from the discovered papers, are permitted.</w:t>
      </w:r>
    </w:p>
    <w:p w:rsidR="00F75A32" w:rsidRPr="00161454" w:rsidRDefault="00F75A32" w:rsidP="000C623F">
      <w:pPr>
        <w:spacing w:after="0" w:line="240" w:lineRule="auto"/>
        <w:rPr>
          <w:rFonts w:ascii="Helvetica Neue" w:hAnsi="Helvetica Neue"/>
          <w:color w:val="003D7D"/>
          <w:sz w:val="20"/>
          <w:szCs w:val="20"/>
        </w:rPr>
      </w:pPr>
    </w:p>
    <w:p w:rsidR="00F75A32" w:rsidRPr="00161454" w:rsidRDefault="00F75A32" w:rsidP="000C623F">
      <w:pPr>
        <w:spacing w:after="0" w:line="240" w:lineRule="auto"/>
        <w:rPr>
          <w:rFonts w:ascii="Helvetica Neue" w:hAnsi="Helvetica Neue"/>
          <w:color w:val="003D7D"/>
          <w:sz w:val="20"/>
          <w:szCs w:val="20"/>
        </w:rPr>
      </w:pPr>
      <w:r w:rsidRPr="00161454">
        <w:rPr>
          <w:rFonts w:ascii="Helvetica Neue" w:hAnsi="Helvetica Neue"/>
          <w:color w:val="003D7D"/>
          <w:sz w:val="20"/>
          <w:szCs w:val="20"/>
        </w:rPr>
        <w:t>If students are required to undertake studies or use methodologies with which they are unfamiliar (e.g. qualitative research methods, systematic reviews, meta-analyses, surveys, science communication) they should be provided with appropriate prior education and support, including in data/statistical analysis and interpretation.</w:t>
      </w:r>
    </w:p>
    <w:p w:rsidR="00F75A32" w:rsidRPr="00161454" w:rsidRDefault="00F75A32" w:rsidP="000C623F">
      <w:pPr>
        <w:spacing w:after="0" w:line="240" w:lineRule="auto"/>
        <w:rPr>
          <w:rFonts w:ascii="Helvetica Neue" w:hAnsi="Helvetica Neue"/>
          <w:color w:val="003D7D"/>
          <w:sz w:val="20"/>
          <w:szCs w:val="20"/>
        </w:rPr>
      </w:pPr>
    </w:p>
    <w:p w:rsidR="00F75A32" w:rsidRPr="00161454" w:rsidRDefault="00F75A32" w:rsidP="000C623F">
      <w:pPr>
        <w:spacing w:after="0" w:line="240" w:lineRule="auto"/>
        <w:rPr>
          <w:rFonts w:ascii="Helvetica Neue" w:hAnsi="Helvetica Neue"/>
          <w:color w:val="003D7D"/>
          <w:sz w:val="20"/>
          <w:szCs w:val="20"/>
        </w:rPr>
      </w:pPr>
      <w:r w:rsidRPr="00161454">
        <w:rPr>
          <w:rFonts w:ascii="Helvetica Neue" w:hAnsi="Helvetica Neue"/>
          <w:color w:val="003D7D"/>
          <w:sz w:val="20"/>
          <w:szCs w:val="20"/>
        </w:rPr>
        <w:t>In deciding whether a particular format of capstone experience meets the Society’s criteria for accreditation, panel members will look beyond the title and determine whether individual formats meet all the criteria for a capstone experience (graduating level, analysis, synthesis and critical evaluation, resulting in a defined output etc.). The assessment should be valid, appropriate for the particular capstone experience, and capable of assessing the intended learning outcomes. This may include assessments other than extended reports e.g. scientific papers, reflective e-portfolios.</w:t>
      </w:r>
    </w:p>
    <w:p w:rsidR="00F75A32" w:rsidRPr="00161454" w:rsidRDefault="00F75A32" w:rsidP="000C623F">
      <w:pPr>
        <w:spacing w:after="0" w:line="240" w:lineRule="auto"/>
        <w:rPr>
          <w:rFonts w:ascii="Helvetica Neue" w:hAnsi="Helvetica Neue"/>
          <w:color w:val="003D7D"/>
          <w:sz w:val="20"/>
          <w:szCs w:val="20"/>
        </w:rPr>
      </w:pPr>
    </w:p>
    <w:p w:rsidR="00F75A32" w:rsidRDefault="00F75A32" w:rsidP="000C623F">
      <w:pPr>
        <w:spacing w:after="0" w:line="240" w:lineRule="auto"/>
        <w:rPr>
          <w:rFonts w:ascii="Helvetica Neue" w:hAnsi="Helvetica Neue"/>
          <w:color w:val="003D7D"/>
          <w:sz w:val="20"/>
          <w:szCs w:val="20"/>
        </w:rPr>
      </w:pPr>
    </w:p>
    <w:p w:rsidR="000C623F" w:rsidRDefault="000C623F" w:rsidP="000C623F">
      <w:pPr>
        <w:spacing w:after="0" w:line="240" w:lineRule="auto"/>
        <w:rPr>
          <w:rFonts w:ascii="Helvetica Neue" w:hAnsi="Helvetica Neue"/>
          <w:color w:val="003D7D"/>
          <w:sz w:val="20"/>
          <w:szCs w:val="20"/>
        </w:rPr>
      </w:pPr>
    </w:p>
    <w:p w:rsidR="000C623F" w:rsidRDefault="000C623F" w:rsidP="000C623F">
      <w:pPr>
        <w:spacing w:after="0" w:line="240" w:lineRule="auto"/>
        <w:rPr>
          <w:rFonts w:ascii="Helvetica Neue" w:hAnsi="Helvetica Neue"/>
          <w:color w:val="003D7D"/>
          <w:sz w:val="20"/>
          <w:szCs w:val="20"/>
        </w:rPr>
      </w:pPr>
    </w:p>
    <w:p w:rsidR="000C623F" w:rsidRPr="00161454" w:rsidRDefault="000C623F" w:rsidP="000C623F">
      <w:pPr>
        <w:spacing w:after="0" w:line="240" w:lineRule="auto"/>
        <w:rPr>
          <w:rFonts w:ascii="Helvetica Neue" w:hAnsi="Helvetica Neue"/>
          <w:color w:val="003D7D"/>
          <w:sz w:val="20"/>
          <w:szCs w:val="20"/>
        </w:rPr>
      </w:pPr>
    </w:p>
    <w:p w:rsidR="00F75A32" w:rsidRPr="00161454" w:rsidRDefault="00F75A32" w:rsidP="000C623F">
      <w:pPr>
        <w:spacing w:after="0" w:line="240" w:lineRule="auto"/>
        <w:rPr>
          <w:color w:val="003D7D"/>
        </w:rPr>
      </w:pPr>
    </w:p>
    <w:p w:rsidR="00F75A32" w:rsidRPr="00161454" w:rsidRDefault="00F75A32" w:rsidP="000C623F">
      <w:pPr>
        <w:spacing w:after="0" w:line="240" w:lineRule="auto"/>
        <w:rPr>
          <w:color w:val="003D7D"/>
        </w:rPr>
      </w:pPr>
      <w:r w:rsidRPr="00161454">
        <w:rPr>
          <w:rFonts w:ascii="Helvetica Neue" w:hAnsi="Helvetica Neue"/>
          <w:b/>
          <w:bCs/>
          <w:color w:val="48A942"/>
          <w:sz w:val="20"/>
          <w:szCs w:val="20"/>
        </w:rPr>
        <w:t>Individual or team capstone experiences</w:t>
      </w:r>
    </w:p>
    <w:p w:rsidR="00F75A32" w:rsidRPr="00161454" w:rsidRDefault="00F75A32" w:rsidP="000C623F">
      <w:pPr>
        <w:spacing w:after="0" w:line="240" w:lineRule="auto"/>
        <w:rPr>
          <w:rFonts w:ascii="Helvetica Neue" w:hAnsi="Helvetica Neue"/>
          <w:color w:val="003D7D"/>
          <w:sz w:val="20"/>
          <w:szCs w:val="20"/>
        </w:rPr>
      </w:pPr>
      <w:r w:rsidRPr="00161454">
        <w:rPr>
          <w:rFonts w:ascii="Helvetica Neue" w:hAnsi="Helvetica Neue"/>
          <w:color w:val="003D7D"/>
          <w:sz w:val="20"/>
          <w:szCs w:val="20"/>
        </w:rPr>
        <w:t>Independent work is an important aspect of the capstone experience. Independence is demonstrated easily when a capstone experience is performed individually, but this does not necessarily mean that capstone experiences undertaken in a team setting fail to meet this criterion.</w:t>
      </w:r>
    </w:p>
    <w:p w:rsidR="00F75A32" w:rsidRPr="00161454" w:rsidRDefault="00F75A32" w:rsidP="000C623F">
      <w:pPr>
        <w:spacing w:after="0" w:line="240" w:lineRule="auto"/>
        <w:rPr>
          <w:rFonts w:ascii="Helvetica Neue" w:hAnsi="Helvetica Neue"/>
          <w:color w:val="003D7D"/>
          <w:sz w:val="20"/>
          <w:szCs w:val="20"/>
        </w:rPr>
      </w:pPr>
    </w:p>
    <w:p w:rsidR="00F75A32" w:rsidRPr="00161454" w:rsidRDefault="00F75A32" w:rsidP="000C623F">
      <w:pPr>
        <w:spacing w:after="0" w:line="240" w:lineRule="auto"/>
        <w:rPr>
          <w:color w:val="003D7D"/>
        </w:rPr>
      </w:pPr>
      <w:r w:rsidRPr="00161454">
        <w:rPr>
          <w:rFonts w:ascii="Helvetica Neue" w:hAnsi="Helvetica Neue"/>
          <w:color w:val="003D7D"/>
          <w:sz w:val="20"/>
          <w:szCs w:val="20"/>
        </w:rPr>
        <w:t>It is important to understand that team working does not necessarily mean that every member of a team does exactly the same tasks. On the contrary, team working (as emphasised by employers) often involves individuals with their own areas of expertise combining on a team-based task, sometimes working independently and sometimes collectively on the same task-so that the output is the sum of individual and team contributions.</w:t>
      </w:r>
    </w:p>
    <w:p w:rsidR="00F75A32" w:rsidRPr="00161454" w:rsidRDefault="00F75A32" w:rsidP="000C623F">
      <w:pPr>
        <w:spacing w:after="0" w:line="240" w:lineRule="auto"/>
        <w:rPr>
          <w:rFonts w:ascii="Helvetica Neue" w:hAnsi="Helvetica Neue"/>
          <w:color w:val="003D7D"/>
          <w:sz w:val="20"/>
          <w:szCs w:val="20"/>
        </w:rPr>
      </w:pPr>
    </w:p>
    <w:p w:rsidR="00F75A32" w:rsidRPr="00161454" w:rsidRDefault="00F75A32" w:rsidP="000C623F">
      <w:pPr>
        <w:spacing w:after="0" w:line="240" w:lineRule="auto"/>
        <w:rPr>
          <w:rFonts w:ascii="Helvetica Neue" w:hAnsi="Helvetica Neue"/>
          <w:color w:val="003D7D"/>
          <w:sz w:val="20"/>
          <w:szCs w:val="20"/>
        </w:rPr>
      </w:pPr>
      <w:r w:rsidRPr="00161454">
        <w:rPr>
          <w:rFonts w:ascii="Helvetica Neue" w:hAnsi="Helvetica Neue"/>
          <w:color w:val="003D7D"/>
          <w:sz w:val="20"/>
          <w:szCs w:val="20"/>
        </w:rPr>
        <w:t>The Society does not wish to be prescriptive in determining how teams are organised and function, and multiple formats are permissible. They could be following the same line of enquiry, with individual students contributing different elements, or they could all be doing exactly the same tasks, working collaboratively to create a greater data-set than could be achieved individually. The critical elements are that they should all contribute to the research design, individual roles/responsibilities should be allocated by the team based on their individual knowledge, skills and expertise (i.e. how they can best serve the team), and that any data/information created is team data, owned collectively by the team, irrespective of individual contributions. This would require students to be formally taught about teamwork and how to work in and/or build a successful team.</w:t>
      </w:r>
    </w:p>
    <w:p w:rsidR="00F75A32" w:rsidRPr="00161454" w:rsidRDefault="00F75A32" w:rsidP="000C623F">
      <w:pPr>
        <w:spacing w:after="0" w:line="240" w:lineRule="auto"/>
        <w:rPr>
          <w:rFonts w:ascii="Helvetica Neue" w:hAnsi="Helvetica Neue"/>
          <w:color w:val="003D7D"/>
          <w:sz w:val="20"/>
          <w:szCs w:val="20"/>
        </w:rPr>
      </w:pPr>
    </w:p>
    <w:p w:rsidR="00F75A32" w:rsidRPr="00161454" w:rsidRDefault="00F75A32" w:rsidP="000C623F">
      <w:pPr>
        <w:spacing w:after="0" w:line="240" w:lineRule="auto"/>
        <w:rPr>
          <w:rFonts w:ascii="Helvetica Neue" w:hAnsi="Helvetica Neue"/>
          <w:color w:val="003D7D"/>
          <w:sz w:val="20"/>
          <w:szCs w:val="20"/>
        </w:rPr>
      </w:pPr>
      <w:r w:rsidRPr="00161454">
        <w:rPr>
          <w:rFonts w:ascii="Helvetica Neue" w:hAnsi="Helvetica Neue"/>
          <w:color w:val="003D7D"/>
          <w:sz w:val="20"/>
          <w:szCs w:val="20"/>
        </w:rPr>
        <w:t>Whilst the data/information is team data, normally the assessment should be individual (i.e. each writes their own scientific paper using this team data/information), so unique reports are created, and each student is assessed independently. This does not preclude moderation of marks based on contribution to the “team”; indeed, the latter is encouraged. A collective single assessed output from the team is also permissible provided there is a fair and transparent mechanism for moderation of marks to reward an individual’s contribution to the team output(s); such that all members of the team do not necessarily receive the same mark. If the primary mode of assessment is a single team output then students should be informed of this prior to choosing their capstone experience, and no student should be allocated to a capstone experience with a single team-based assessment against their wishes.</w:t>
      </w:r>
    </w:p>
    <w:p w:rsidR="00F75A32" w:rsidRPr="00161454" w:rsidRDefault="00F75A32" w:rsidP="000C623F">
      <w:pPr>
        <w:spacing w:after="0" w:line="240" w:lineRule="auto"/>
        <w:rPr>
          <w:color w:val="003D7D"/>
        </w:rPr>
      </w:pPr>
    </w:p>
    <w:p w:rsidR="00F75A32" w:rsidRPr="00161454" w:rsidRDefault="00F75A32" w:rsidP="000C623F">
      <w:pPr>
        <w:spacing w:after="0" w:line="240" w:lineRule="auto"/>
        <w:rPr>
          <w:color w:val="003D7D"/>
        </w:rPr>
      </w:pPr>
      <w:r w:rsidRPr="00161454">
        <w:rPr>
          <w:rFonts w:ascii="Helvetica Neue" w:hAnsi="Helvetica Neue"/>
          <w:b/>
          <w:bCs/>
          <w:color w:val="48A942"/>
          <w:sz w:val="20"/>
          <w:szCs w:val="20"/>
        </w:rPr>
        <w:t xml:space="preserve">Range and choice </w:t>
      </w:r>
    </w:p>
    <w:p w:rsidR="00F75A32" w:rsidRPr="00161454" w:rsidRDefault="00F75A32" w:rsidP="000C623F">
      <w:pPr>
        <w:spacing w:after="0" w:line="240" w:lineRule="auto"/>
        <w:rPr>
          <w:rFonts w:ascii="Helvetica Neue" w:hAnsi="Helvetica Neue"/>
          <w:color w:val="003D7D"/>
          <w:sz w:val="20"/>
          <w:szCs w:val="20"/>
        </w:rPr>
      </w:pPr>
      <w:r w:rsidRPr="00161454">
        <w:rPr>
          <w:rFonts w:ascii="Helvetica Neue" w:hAnsi="Helvetica Neue"/>
          <w:color w:val="003D7D"/>
          <w:sz w:val="20"/>
          <w:szCs w:val="20"/>
        </w:rPr>
        <w:t>It is likely that an institution will provide a range of capstone experience types for their students. By offering a range of capstone experiences, it enables individual students to decide for themselves what they want to achieve, personally and professionally, from the experience, and therefore to choose accordingly. It should be a “safe space” for them to experience different career options, to gain work experience, and develop specific skills that would be useful in their future graduate employment.</w:t>
      </w:r>
    </w:p>
    <w:p w:rsidR="00F75A32" w:rsidRPr="00161454" w:rsidRDefault="00F75A32" w:rsidP="000C623F">
      <w:pPr>
        <w:spacing w:after="0" w:line="240" w:lineRule="auto"/>
        <w:rPr>
          <w:rFonts w:ascii="Helvetica Neue" w:hAnsi="Helvetica Neue"/>
          <w:color w:val="003D7D"/>
          <w:sz w:val="20"/>
          <w:szCs w:val="20"/>
        </w:rPr>
      </w:pPr>
    </w:p>
    <w:p w:rsidR="00F75A32" w:rsidRPr="00FB2220" w:rsidRDefault="00F75A32" w:rsidP="000C623F">
      <w:pPr>
        <w:spacing w:after="0" w:line="240" w:lineRule="auto"/>
        <w:rPr>
          <w:color w:val="003D7D"/>
        </w:rPr>
      </w:pPr>
      <w:r w:rsidRPr="00161454">
        <w:rPr>
          <w:rFonts w:ascii="Helvetica Neue" w:hAnsi="Helvetica Neue"/>
          <w:color w:val="003D7D"/>
          <w:sz w:val="20"/>
          <w:szCs w:val="20"/>
        </w:rPr>
        <w:t>It is a requirement for accreditation that all capstone experiences offered to students meet the accreditation criteria. This ensures that all students can demonstrate the threshold levels for the learning outcomes associated with the capstone experience. The process for the allocation of capstone experiences should be fair and transparent, and where a choice of capstone experience type is available, this process should ideally ensure that all students who wish to undertake a specific capstone experience should be able to do so. Further, institutions should ensure that, when offering a range of capstone experiences, each has equal status (to students and staff), with the understanding that specific formats of capstone experiences might be more appropriate for different students depending on their career aspirations.</w:t>
      </w:r>
    </w:p>
    <w:p w:rsidR="00F75A32" w:rsidRDefault="00F75A32" w:rsidP="000C623F">
      <w:pPr>
        <w:spacing w:after="0" w:line="240" w:lineRule="auto"/>
      </w:pPr>
    </w:p>
    <w:p w:rsidR="0051697E" w:rsidRDefault="0051697E"/>
    <w:sectPr w:rsidR="0051697E" w:rsidSect="003E7434">
      <w:pgSz w:w="11906" w:h="16838"/>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Arial"/>
    <w:charset w:val="00"/>
    <w:family w:val="auto"/>
    <w:pitch w:val="variable"/>
    <w:sig w:usb0="8000006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70D8C"/>
    <w:multiLevelType w:val="hybridMultilevel"/>
    <w:tmpl w:val="B4385A2A"/>
    <w:lvl w:ilvl="0" w:tplc="56ECEECC">
      <w:numFmt w:val="bullet"/>
      <w:lvlText w:val="-"/>
      <w:lvlJc w:val="left"/>
      <w:pPr>
        <w:ind w:left="1080" w:hanging="360"/>
      </w:pPr>
      <w:rPr>
        <w:rFonts w:ascii="Helvetica Neue" w:eastAsiaTheme="minorHAnsi" w:hAnsi="Helvetica Neue"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634738B"/>
    <w:multiLevelType w:val="hybridMultilevel"/>
    <w:tmpl w:val="BEC882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42"/>
    <w:rsid w:val="000C623F"/>
    <w:rsid w:val="002067A4"/>
    <w:rsid w:val="00291206"/>
    <w:rsid w:val="003E7434"/>
    <w:rsid w:val="0051697E"/>
    <w:rsid w:val="00704E42"/>
    <w:rsid w:val="007C61E1"/>
    <w:rsid w:val="009F1C3F"/>
    <w:rsid w:val="00F75A32"/>
    <w:rsid w:val="00FC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DC3CD-B914-4B8C-BE01-7D7A848D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E42"/>
  </w:style>
  <w:style w:type="paragraph" w:styleId="Heading1">
    <w:name w:val="heading 1"/>
    <w:basedOn w:val="Normal"/>
    <w:next w:val="Normal"/>
    <w:link w:val="Heading1Char"/>
    <w:uiPriority w:val="9"/>
    <w:qFormat/>
    <w:rsid w:val="00704E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704E42"/>
    <w:pPr>
      <w:keepNext w:val="0"/>
      <w:keepLines w:val="0"/>
      <w:spacing w:before="0" w:line="240" w:lineRule="auto"/>
      <w:outlineLvl w:val="1"/>
    </w:pPr>
    <w:rPr>
      <w:rFonts w:ascii="Helvetica Neue" w:eastAsiaTheme="minorHAnsi" w:hAnsi="Helvetica Neue" w:cs="Arial"/>
      <w:color w:val="48A942"/>
      <w:sz w:val="4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E42"/>
    <w:rPr>
      <w:rFonts w:ascii="Helvetica Neue" w:hAnsi="Helvetica Neue" w:cs="Arial"/>
      <w:color w:val="48A942"/>
      <w:sz w:val="48"/>
    </w:rPr>
  </w:style>
  <w:style w:type="character" w:styleId="Hyperlink">
    <w:name w:val="Hyperlink"/>
    <w:basedOn w:val="DefaultParagraphFont"/>
    <w:uiPriority w:val="99"/>
    <w:unhideWhenUsed/>
    <w:rsid w:val="00704E42"/>
    <w:rPr>
      <w:color w:val="0563C1" w:themeColor="hyperlink"/>
      <w:u w:val="single"/>
    </w:rPr>
  </w:style>
  <w:style w:type="paragraph" w:styleId="ListParagraph">
    <w:name w:val="List Paragraph"/>
    <w:basedOn w:val="Normal"/>
    <w:uiPriority w:val="34"/>
    <w:qFormat/>
    <w:rsid w:val="00704E42"/>
    <w:pPr>
      <w:ind w:left="720"/>
      <w:contextualSpacing/>
    </w:pPr>
  </w:style>
  <w:style w:type="table" w:styleId="TableGrid">
    <w:name w:val="Table Grid"/>
    <w:basedOn w:val="TableNormal"/>
    <w:uiPriority w:val="39"/>
    <w:rsid w:val="0070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4E4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4978</Words>
  <Characters>28379</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Fowler</dc:creator>
  <cp:keywords/>
  <dc:description/>
  <cp:lastModifiedBy>Emma Fowler</cp:lastModifiedBy>
  <cp:revision>2</cp:revision>
  <dcterms:created xsi:type="dcterms:W3CDTF">2019-04-25T14:08:00Z</dcterms:created>
  <dcterms:modified xsi:type="dcterms:W3CDTF">2019-04-25T14:08:00Z</dcterms:modified>
</cp:coreProperties>
</file>