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A" w:rsidRDefault="00A528BA" w:rsidP="00A528BA">
      <w:pPr>
        <w:rPr>
          <w:rFonts w:ascii="Arial" w:hAnsi="Arial" w:cs="Arial"/>
          <w:b/>
          <w:sz w:val="20"/>
          <w:szCs w:val="20"/>
        </w:rPr>
      </w:pPr>
      <w:bookmarkStart w:id="0" w:name="_GoBack"/>
      <w:bookmarkEnd w:id="0"/>
    </w:p>
    <w:p w:rsidR="003245B5" w:rsidRDefault="003245B5" w:rsidP="003245B5">
      <w:pPr>
        <w:rPr>
          <w:b/>
        </w:rPr>
      </w:pPr>
    </w:p>
    <w:p w:rsidR="000E76E2" w:rsidRPr="009E5887" w:rsidRDefault="00106339" w:rsidP="000E76E2">
      <w:pPr>
        <w:jc w:val="center"/>
        <w:rPr>
          <w:rFonts w:ascii="Helvetica Neue" w:hAnsi="Helvetica Neue"/>
          <w:b/>
        </w:rPr>
      </w:pPr>
      <w:r w:rsidRPr="009E5887">
        <w:rPr>
          <w:rFonts w:ascii="Helvetica Neue" w:hAnsi="Helvetica Neue"/>
          <w:b/>
        </w:rPr>
        <w:t>Business, Innovation and Skills Committee Inquiry: Assessing the Quality of Higher Education</w:t>
      </w:r>
    </w:p>
    <w:p w:rsidR="00106339" w:rsidRPr="009E5887" w:rsidRDefault="00E22966" w:rsidP="00680B67">
      <w:pPr>
        <w:pStyle w:val="ListParagraph"/>
        <w:numPr>
          <w:ilvl w:val="0"/>
          <w:numId w:val="18"/>
        </w:numPr>
        <w:rPr>
          <w:rFonts w:ascii="Helvetica Neue" w:hAnsi="Helvetica Neue"/>
        </w:rPr>
      </w:pPr>
      <w:r w:rsidRPr="00680B67">
        <w:rPr>
          <w:rFonts w:ascii="Helvetica Neue" w:hAnsi="Helvetica Neue"/>
        </w:rPr>
        <w:t xml:space="preserve">The Royal Society of Biology (RSB) is a single unified voice for biology: advising Government and influencing </w:t>
      </w:r>
      <w:r w:rsidRPr="009E5887">
        <w:rPr>
          <w:rStyle w:val="wffiletext"/>
          <w:rFonts w:ascii="Helvetica Neue" w:hAnsi="Helvetica Neue"/>
        </w:rPr>
        <w:t>policy</w:t>
      </w:r>
      <w:r w:rsidRPr="00680B67">
        <w:rPr>
          <w:rFonts w:ascii="Helvetica Neue" w:hAnsi="Helvetica Neue"/>
        </w:rPr>
        <w:t xml:space="preserve">; advancing </w:t>
      </w:r>
      <w:r w:rsidRPr="009E5887">
        <w:rPr>
          <w:rStyle w:val="wffiletext"/>
          <w:rFonts w:ascii="Helvetica Neue" w:hAnsi="Helvetica Neue"/>
        </w:rPr>
        <w:t>education</w:t>
      </w:r>
      <w:r w:rsidRPr="00680B67">
        <w:rPr>
          <w:rFonts w:ascii="Helvetica Neue" w:hAnsi="Helvetica Neue"/>
        </w:rPr>
        <w:t xml:space="preserve"> and </w:t>
      </w:r>
      <w:r w:rsidRPr="009E5887">
        <w:rPr>
          <w:rStyle w:val="wffiletext"/>
          <w:rFonts w:ascii="Helvetica Neue" w:hAnsi="Helvetica Neue"/>
        </w:rPr>
        <w:t>professional development</w:t>
      </w:r>
      <w:r w:rsidRPr="00680B67">
        <w:rPr>
          <w:rFonts w:ascii="Helvetica Neue" w:hAnsi="Helvetica Neue"/>
        </w:rPr>
        <w:t>;</w:t>
      </w:r>
      <w:r w:rsidR="006B0C34" w:rsidRPr="009E5887">
        <w:rPr>
          <w:rFonts w:ascii="Helvetica Neue" w:hAnsi="Helvetica Neue"/>
        </w:rPr>
        <w:t xml:space="preserve"> </w:t>
      </w:r>
      <w:r w:rsidRPr="00680B67">
        <w:rPr>
          <w:rFonts w:ascii="Helvetica Neue" w:hAnsi="Helvetica Neue"/>
        </w:rPr>
        <w:t xml:space="preserve">supporting our members, and engaging and encouraging </w:t>
      </w:r>
      <w:r w:rsidRPr="009E5887">
        <w:rPr>
          <w:rStyle w:val="wffiletext"/>
          <w:rFonts w:ascii="Helvetica Neue" w:hAnsi="Helvetica Neue"/>
        </w:rPr>
        <w:t>public interest</w:t>
      </w:r>
      <w:r w:rsidRPr="00680B67">
        <w:rPr>
          <w:rFonts w:ascii="Helvetica Neue" w:hAnsi="Helvetica Neue"/>
        </w:rPr>
        <w:t xml:space="preserve"> in the life sciences. The Society represents a diverse </w:t>
      </w:r>
      <w:r w:rsidRPr="009E5887">
        <w:rPr>
          <w:rStyle w:val="wffiletext"/>
          <w:rFonts w:ascii="Helvetica Neue" w:hAnsi="Helvetica Neue"/>
        </w:rPr>
        <w:t>membership</w:t>
      </w:r>
      <w:r w:rsidRPr="00680B67">
        <w:rPr>
          <w:rFonts w:ascii="Helvetica Neue" w:hAnsi="Helvetica Neue"/>
        </w:rPr>
        <w:t xml:space="preserve"> of individuals, learned societies and other organisations. Individual members include practising scientists, students at all levels, professionals in academia, industry and education, and non-professionals with an interest in biology.</w:t>
      </w:r>
      <w:r w:rsidR="001C718B" w:rsidRPr="00680B67">
        <w:rPr>
          <w:rFonts w:ascii="Helvetica Neue" w:hAnsi="Helvetica Neue"/>
        </w:rPr>
        <w:t xml:space="preserve"> We have had contributions for this consultation from our individual members, other bioscience based learned societies (our member organisations) and special interest groups including the Heads of University Biosciences</w:t>
      </w:r>
      <w:r w:rsidR="00BF5002" w:rsidRPr="00680B67">
        <w:rPr>
          <w:rFonts w:ascii="Helvetica Neue" w:hAnsi="Helvetica Neue"/>
        </w:rPr>
        <w:t xml:space="preserve"> and the Biology Education Research Group</w:t>
      </w:r>
      <w:r w:rsidR="001C718B" w:rsidRPr="00680B67">
        <w:rPr>
          <w:rFonts w:ascii="Helvetica Neue" w:hAnsi="Helvetica Neue"/>
        </w:rPr>
        <w:t xml:space="preserve">. </w:t>
      </w:r>
    </w:p>
    <w:p w:rsidR="006B0C34" w:rsidRPr="00680B67" w:rsidRDefault="006B0C34" w:rsidP="00680B67">
      <w:pPr>
        <w:pStyle w:val="ListParagraph"/>
        <w:numPr>
          <w:ilvl w:val="0"/>
          <w:numId w:val="18"/>
        </w:numPr>
        <w:rPr>
          <w:rFonts w:ascii="Helvetica Neue" w:hAnsi="Helvetica Neue"/>
        </w:rPr>
      </w:pPr>
      <w:r w:rsidRPr="009E5887">
        <w:rPr>
          <w:rFonts w:ascii="Helvetica Neue" w:hAnsi="Helvetica Neue"/>
        </w:rPr>
        <w:t xml:space="preserve">The </w:t>
      </w:r>
      <w:r w:rsidR="00E24F98" w:rsidRPr="009E5887">
        <w:rPr>
          <w:rFonts w:ascii="Helvetica Neue" w:hAnsi="Helvetica Neue"/>
        </w:rPr>
        <w:t>RSB</w:t>
      </w:r>
      <w:r w:rsidR="00232842" w:rsidRPr="009E5887">
        <w:rPr>
          <w:rFonts w:ascii="Helvetica Neue" w:hAnsi="Helvetica Neue"/>
        </w:rPr>
        <w:t xml:space="preserve"> are providers of a number of initiatives that</w:t>
      </w:r>
      <w:r w:rsidRPr="009E5887">
        <w:rPr>
          <w:rFonts w:ascii="Helvetica Neue" w:hAnsi="Helvetica Neue"/>
        </w:rPr>
        <w:t xml:space="preserve"> support higher education institutions, their staff and students. We recognise excellence in bioscience teaching with our annual Higher Education Bioscience Teacher of the Year Award</w:t>
      </w:r>
      <w:r w:rsidR="00E24F98" w:rsidRPr="009E5887">
        <w:rPr>
          <w:rStyle w:val="FootnoteReference"/>
          <w:rFonts w:ascii="Helvetica Neue" w:hAnsi="Helvetica Neue"/>
        </w:rPr>
        <w:footnoteReference w:id="1"/>
      </w:r>
      <w:r w:rsidRPr="009E5887">
        <w:rPr>
          <w:rFonts w:ascii="Helvetica Neue" w:hAnsi="Helvetica Neue"/>
        </w:rPr>
        <w:t>. We offer our members who</w:t>
      </w:r>
      <w:r w:rsidR="00E24F98" w:rsidRPr="009E5887">
        <w:rPr>
          <w:rFonts w:ascii="Helvetica Neue" w:hAnsi="Helvetica Neue"/>
        </w:rPr>
        <w:t xml:space="preserve"> are active in</w:t>
      </w:r>
      <w:r w:rsidRPr="009E5887">
        <w:rPr>
          <w:rFonts w:ascii="Helvetica Neue" w:hAnsi="Helvetica Neue"/>
        </w:rPr>
        <w:t xml:space="preserve"> teach</w:t>
      </w:r>
      <w:r w:rsidR="00E24F98" w:rsidRPr="009E5887">
        <w:rPr>
          <w:rFonts w:ascii="Helvetica Neue" w:hAnsi="Helvetica Neue"/>
        </w:rPr>
        <w:t>ing</w:t>
      </w:r>
      <w:r w:rsidRPr="009E5887">
        <w:rPr>
          <w:rFonts w:ascii="Helvetica Neue" w:hAnsi="Helvetica Neue"/>
        </w:rPr>
        <w:t xml:space="preserve"> the opportunity to join the Chartered Science Teacher</w:t>
      </w:r>
      <w:r w:rsidR="00F52F48" w:rsidRPr="009E5887">
        <w:rPr>
          <w:rFonts w:ascii="Helvetica Neue" w:hAnsi="Helvetica Neue"/>
        </w:rPr>
        <w:t xml:space="preserve"> (CSciTeach)</w:t>
      </w:r>
      <w:r w:rsidRPr="009E5887">
        <w:rPr>
          <w:rFonts w:ascii="Helvetica Neue" w:hAnsi="Helvetica Neue"/>
        </w:rPr>
        <w:t xml:space="preserve"> professional register</w:t>
      </w:r>
      <w:r w:rsidR="00E24F98" w:rsidRPr="009E5887">
        <w:rPr>
          <w:rStyle w:val="FootnoteReference"/>
          <w:rFonts w:ascii="Helvetica Neue" w:hAnsi="Helvetica Neue"/>
        </w:rPr>
        <w:footnoteReference w:id="2"/>
      </w:r>
      <w:r w:rsidRPr="009E5887">
        <w:rPr>
          <w:rFonts w:ascii="Helvetica Neue" w:hAnsi="Helvetica Neue"/>
        </w:rPr>
        <w:t>. To maintain their registration teachers must demonstrate their continued commitment to engaging with professional development</w:t>
      </w:r>
      <w:r w:rsidR="00232842" w:rsidRPr="009E5887">
        <w:rPr>
          <w:rStyle w:val="FootnoteReference"/>
          <w:rFonts w:ascii="Helvetica Neue" w:hAnsi="Helvetica Neue"/>
        </w:rPr>
        <w:footnoteReference w:id="3"/>
      </w:r>
      <w:r w:rsidRPr="009E5887">
        <w:rPr>
          <w:rFonts w:ascii="Helvetica Neue" w:hAnsi="Helvetica Neue"/>
        </w:rPr>
        <w:t xml:space="preserve"> and reflecting upon their practice.</w:t>
      </w:r>
      <w:r w:rsidR="00EA53E8" w:rsidRPr="009E5887">
        <w:rPr>
          <w:rFonts w:ascii="Helvetica Neue" w:hAnsi="Helvetica Neue"/>
        </w:rPr>
        <w:t xml:space="preserve"> </w:t>
      </w:r>
      <w:r w:rsidR="00D166F8" w:rsidRPr="009E5887">
        <w:rPr>
          <w:rFonts w:ascii="Helvetica Neue" w:hAnsi="Helvetica Neue"/>
        </w:rPr>
        <w:t>We offer training and events that support teachers in higher education including a yearly residential conference co-ordinated by our special interest group the Heads of University Biosciences which focuses on teaching and learning</w:t>
      </w:r>
      <w:r w:rsidR="00D166F8" w:rsidRPr="009E5887">
        <w:rPr>
          <w:rStyle w:val="FootnoteReference"/>
          <w:rFonts w:ascii="Helvetica Neue" w:hAnsi="Helvetica Neue"/>
        </w:rPr>
        <w:footnoteReference w:id="4"/>
      </w:r>
      <w:r w:rsidR="00D166F8" w:rsidRPr="009E5887">
        <w:rPr>
          <w:rFonts w:ascii="Helvetica Neue" w:hAnsi="Helvetica Neue"/>
        </w:rPr>
        <w:t>.</w:t>
      </w:r>
      <w:r w:rsidR="00E24F98" w:rsidRPr="009E5887">
        <w:rPr>
          <w:rFonts w:ascii="Helvetica Neue" w:hAnsi="Helvetica Neue"/>
        </w:rPr>
        <w:t>Through our degree accreditation</w:t>
      </w:r>
      <w:r w:rsidR="00EA53E8" w:rsidRPr="009E5887">
        <w:rPr>
          <w:rStyle w:val="FootnoteReference"/>
          <w:rFonts w:ascii="Helvetica Neue" w:hAnsi="Helvetica Neue"/>
        </w:rPr>
        <w:footnoteReference w:id="5"/>
      </w:r>
      <w:r w:rsidR="00E24F98" w:rsidRPr="009E5887">
        <w:rPr>
          <w:rFonts w:ascii="Helvetica Neue" w:hAnsi="Helvetica Neue"/>
        </w:rPr>
        <w:t xml:space="preserve"> processes the R</w:t>
      </w:r>
      <w:r w:rsidR="00EA53E8" w:rsidRPr="009E5887">
        <w:rPr>
          <w:rFonts w:ascii="Helvetica Neue" w:hAnsi="Helvetica Neue"/>
        </w:rPr>
        <w:t>SB</w:t>
      </w:r>
      <w:r w:rsidRPr="009E5887">
        <w:rPr>
          <w:rFonts w:ascii="Helvetica Neue" w:hAnsi="Helvetica Neue"/>
        </w:rPr>
        <w:t xml:space="preserve"> </w:t>
      </w:r>
      <w:r w:rsidR="00EA53E8" w:rsidRPr="009E5887">
        <w:rPr>
          <w:rFonts w:ascii="Helvetica Neue" w:hAnsi="Helvetica Neue"/>
        </w:rPr>
        <w:t>ensures</w:t>
      </w:r>
      <w:r w:rsidR="00C40DE1" w:rsidRPr="009E5887">
        <w:rPr>
          <w:rFonts w:ascii="Helvetica Neue" w:hAnsi="Helvetica Neue"/>
        </w:rPr>
        <w:t xml:space="preserve"> that </w:t>
      </w:r>
      <w:r w:rsidR="00EA53E8" w:rsidRPr="009E5887">
        <w:rPr>
          <w:rFonts w:ascii="Helvetica Neue" w:hAnsi="Helvetica Neue"/>
        </w:rPr>
        <w:t xml:space="preserve">accredited programmes </w:t>
      </w:r>
      <w:r w:rsidR="00C40DE1" w:rsidRPr="009E5887">
        <w:rPr>
          <w:rFonts w:ascii="Helvetica Neue" w:hAnsi="Helvetica Neue"/>
        </w:rPr>
        <w:t xml:space="preserve">enable students to </w:t>
      </w:r>
      <w:r w:rsidR="00EA53E8" w:rsidRPr="009E5887">
        <w:rPr>
          <w:rFonts w:ascii="Helvetica Neue" w:hAnsi="Helvetica Neue"/>
        </w:rPr>
        <w:t>develop the skills needed by employers alongside strong academic knowledge and practical skills.</w:t>
      </w:r>
      <w:r w:rsidRPr="009E5887">
        <w:rPr>
          <w:rFonts w:ascii="Helvetica Neue" w:hAnsi="Helvetica Neue"/>
        </w:rPr>
        <w:t xml:space="preserve">   </w:t>
      </w:r>
    </w:p>
    <w:p w:rsidR="00106339" w:rsidRPr="00680B67" w:rsidRDefault="00106339" w:rsidP="00680B67">
      <w:pPr>
        <w:pStyle w:val="ListParagraph"/>
        <w:numPr>
          <w:ilvl w:val="0"/>
          <w:numId w:val="24"/>
        </w:numPr>
        <w:rPr>
          <w:rFonts w:ascii="Helvetica Neue" w:eastAsia="Times New Roman" w:hAnsi="Helvetica Neue" w:cs="Arial"/>
          <w:b/>
        </w:rPr>
      </w:pPr>
      <w:r w:rsidRPr="00680B67">
        <w:rPr>
          <w:rFonts w:ascii="Helvetica Neue" w:eastAsia="Times New Roman" w:hAnsi="Helvetica Neue" w:cs="Arial"/>
          <w:b/>
        </w:rPr>
        <w:t xml:space="preserve">What issues with quality assessment in Higher Education was HEFCE’s Quality Assurance review seeking to address? </w:t>
      </w:r>
    </w:p>
    <w:p w:rsidR="00E43EDC" w:rsidRPr="00680B67" w:rsidRDefault="00E43EDC"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The RSB felt that the review into quality ass</w:t>
      </w:r>
      <w:r w:rsidR="00632008" w:rsidRPr="00680B67">
        <w:rPr>
          <w:rFonts w:ascii="Helvetica Neue" w:eastAsia="Times New Roman" w:hAnsi="Helvetica Neue" w:cs="Arial"/>
        </w:rPr>
        <w:t>essment</w:t>
      </w:r>
      <w:r w:rsidRPr="00680B67">
        <w:rPr>
          <w:rFonts w:ascii="Helvetica Neue" w:eastAsia="Times New Roman" w:hAnsi="Helvetica Neue" w:cs="Arial"/>
        </w:rPr>
        <w:t xml:space="preserve"> was trying to address a number of issues within higher education </w:t>
      </w:r>
      <w:r w:rsidR="00F7326D" w:rsidRPr="00680B67">
        <w:rPr>
          <w:rFonts w:ascii="Helvetica Neue" w:eastAsia="Times New Roman" w:hAnsi="Helvetica Neue" w:cs="Arial"/>
        </w:rPr>
        <w:t>that</w:t>
      </w:r>
      <w:r w:rsidRPr="00680B67">
        <w:rPr>
          <w:rFonts w:ascii="Helvetica Neue" w:eastAsia="Times New Roman" w:hAnsi="Helvetica Neue" w:cs="Arial"/>
        </w:rPr>
        <w:t xml:space="preserve"> all fall under the head</w:t>
      </w:r>
      <w:r w:rsidR="00272967" w:rsidRPr="00680B67">
        <w:rPr>
          <w:rFonts w:ascii="Helvetica Neue" w:eastAsia="Times New Roman" w:hAnsi="Helvetica Neue" w:cs="Arial"/>
        </w:rPr>
        <w:t>ing</w:t>
      </w:r>
      <w:r w:rsidRPr="00680B67">
        <w:rPr>
          <w:rFonts w:ascii="Helvetica Neue" w:eastAsia="Times New Roman" w:hAnsi="Helvetica Neue" w:cs="Arial"/>
        </w:rPr>
        <w:t xml:space="preserve"> of </w:t>
      </w:r>
      <w:r w:rsidR="00272967" w:rsidRPr="00680B67">
        <w:rPr>
          <w:rFonts w:ascii="Helvetica Neue" w:eastAsia="Times New Roman" w:hAnsi="Helvetica Neue" w:cs="Arial"/>
        </w:rPr>
        <w:t>comparability of</w:t>
      </w:r>
      <w:r w:rsidRPr="00680B67">
        <w:rPr>
          <w:rFonts w:ascii="Helvetica Neue" w:eastAsia="Times New Roman" w:hAnsi="Helvetica Neue" w:cs="Arial"/>
        </w:rPr>
        <w:t xml:space="preserve"> standards across universities and their programmes.</w:t>
      </w:r>
      <w:r w:rsidR="00F30C0C" w:rsidRPr="00680B67">
        <w:rPr>
          <w:rFonts w:ascii="Helvetica Neue" w:eastAsia="Times New Roman" w:hAnsi="Helvetica Neue" w:cs="Arial"/>
        </w:rPr>
        <w:t xml:space="preserve"> It is important that there is transparency and that students underst</w:t>
      </w:r>
      <w:r w:rsidR="00395D6A" w:rsidRPr="00680B67">
        <w:rPr>
          <w:rFonts w:ascii="Helvetica Neue" w:eastAsia="Times New Roman" w:hAnsi="Helvetica Neue" w:cs="Arial"/>
        </w:rPr>
        <w:t>and what they can expect to receive</w:t>
      </w:r>
      <w:r w:rsidR="00F30C0C" w:rsidRPr="00680B67">
        <w:rPr>
          <w:rFonts w:ascii="Helvetica Neue" w:eastAsia="Times New Roman" w:hAnsi="Helvetica Neue" w:cs="Arial"/>
        </w:rPr>
        <w:t xml:space="preserve"> in terms of </w:t>
      </w:r>
      <w:r w:rsidR="00395D6A" w:rsidRPr="00680B67">
        <w:rPr>
          <w:rFonts w:ascii="Helvetica Neue" w:eastAsia="Times New Roman" w:hAnsi="Helvetica Neue" w:cs="Arial"/>
        </w:rPr>
        <w:t xml:space="preserve">personal </w:t>
      </w:r>
      <w:r w:rsidR="00F30C0C" w:rsidRPr="00680B67">
        <w:rPr>
          <w:rFonts w:ascii="Helvetica Neue" w:eastAsia="Times New Roman" w:hAnsi="Helvetica Neue" w:cs="Arial"/>
        </w:rPr>
        <w:t>development</w:t>
      </w:r>
      <w:r w:rsidR="00395D6A" w:rsidRPr="00680B67">
        <w:rPr>
          <w:rFonts w:ascii="Helvetica Neue" w:eastAsia="Times New Roman" w:hAnsi="Helvetica Neue" w:cs="Arial"/>
        </w:rPr>
        <w:t xml:space="preserve">, </w:t>
      </w:r>
      <w:r w:rsidR="00F30C0C" w:rsidRPr="00680B67">
        <w:rPr>
          <w:rFonts w:ascii="Helvetica Neue" w:eastAsia="Times New Roman" w:hAnsi="Helvetica Neue" w:cs="Arial"/>
        </w:rPr>
        <w:t xml:space="preserve">transferable skills </w:t>
      </w:r>
      <w:r w:rsidR="00F30C0C" w:rsidRPr="00680B67">
        <w:rPr>
          <w:rFonts w:ascii="Helvetica Neue" w:eastAsia="Times New Roman" w:hAnsi="Helvetica Neue" w:cs="Arial"/>
        </w:rPr>
        <w:lastRenderedPageBreak/>
        <w:t>and graduate attributes alongside subject</w:t>
      </w:r>
      <w:r w:rsidR="00125E39" w:rsidRPr="00680B67">
        <w:rPr>
          <w:rFonts w:ascii="Helvetica Neue" w:eastAsia="Times New Roman" w:hAnsi="Helvetica Neue" w:cs="Arial"/>
        </w:rPr>
        <w:t>-</w:t>
      </w:r>
      <w:r w:rsidR="00F30C0C" w:rsidRPr="00680B67">
        <w:rPr>
          <w:rFonts w:ascii="Helvetica Neue" w:eastAsia="Times New Roman" w:hAnsi="Helvetica Neue" w:cs="Arial"/>
        </w:rPr>
        <w:t>specific skills and knowledge that will prepare them for future employment and being part of society.</w:t>
      </w:r>
      <w:r w:rsidRPr="00680B67">
        <w:rPr>
          <w:rFonts w:ascii="Helvetica Neue" w:eastAsia="Times New Roman" w:hAnsi="Helvetica Neue" w:cs="Arial"/>
        </w:rPr>
        <w:t xml:space="preserve"> </w:t>
      </w:r>
    </w:p>
    <w:p w:rsidR="005B2EF0" w:rsidRPr="00680B67" w:rsidRDefault="00632008"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The review raised questions about the awarding of degrees</w:t>
      </w:r>
      <w:r w:rsidR="00272967" w:rsidRPr="00680B67">
        <w:rPr>
          <w:rFonts w:ascii="Helvetica Neue" w:eastAsia="Times New Roman" w:hAnsi="Helvetica Neue" w:cs="Arial"/>
        </w:rPr>
        <w:t>,</w:t>
      </w:r>
      <w:r w:rsidRPr="00680B67">
        <w:rPr>
          <w:rFonts w:ascii="Helvetica Neue" w:eastAsia="Times New Roman" w:hAnsi="Helvetica Neue" w:cs="Arial"/>
        </w:rPr>
        <w:t xml:space="preserve"> </w:t>
      </w:r>
      <w:r w:rsidR="00125E39" w:rsidRPr="00680B67">
        <w:rPr>
          <w:rFonts w:ascii="Helvetica Neue" w:eastAsia="Times New Roman" w:hAnsi="Helvetica Neue" w:cs="Arial"/>
        </w:rPr>
        <w:t>predominantly over whether the increase in First and Upper Second Class grades awarded is due to improvements in knowledge and skill or due to grade inflation.</w:t>
      </w:r>
      <w:r w:rsidR="00F30C0C" w:rsidRPr="00680B67">
        <w:rPr>
          <w:rFonts w:ascii="Helvetica Neue" w:eastAsia="Times New Roman" w:hAnsi="Helvetica Neue" w:cs="Arial"/>
        </w:rPr>
        <w:t xml:space="preserve"> There are implications for employability as</w:t>
      </w:r>
      <w:r w:rsidR="007A7A3C" w:rsidRPr="00680B67">
        <w:rPr>
          <w:rFonts w:ascii="Helvetica Neue" w:eastAsia="Times New Roman" w:hAnsi="Helvetica Neue" w:cs="Arial"/>
        </w:rPr>
        <w:t xml:space="preserve"> </w:t>
      </w:r>
      <w:r w:rsidR="001E49F0" w:rsidRPr="00680B67">
        <w:rPr>
          <w:rFonts w:ascii="Helvetica Neue" w:eastAsia="Times New Roman" w:hAnsi="Helvetica Neue" w:cs="Arial"/>
        </w:rPr>
        <w:t xml:space="preserve">the </w:t>
      </w:r>
      <w:r w:rsidR="00F30C0C" w:rsidRPr="00680B67">
        <w:rPr>
          <w:rFonts w:ascii="Helvetica Neue" w:eastAsia="Times New Roman" w:hAnsi="Helvetica Neue" w:cs="Arial"/>
        </w:rPr>
        <w:t>class</w:t>
      </w:r>
      <w:r w:rsidR="007A7A3C" w:rsidRPr="00680B67">
        <w:rPr>
          <w:rFonts w:ascii="Helvetica Neue" w:eastAsia="Times New Roman" w:hAnsi="Helvetica Neue" w:cs="Arial"/>
        </w:rPr>
        <w:t xml:space="preserve"> of degree awarded</w:t>
      </w:r>
      <w:r w:rsidR="00F30C0C" w:rsidRPr="00680B67">
        <w:rPr>
          <w:rFonts w:ascii="Helvetica Neue" w:eastAsia="Times New Roman" w:hAnsi="Helvetica Neue" w:cs="Arial"/>
        </w:rPr>
        <w:t xml:space="preserve"> is used as a threshold level for </w:t>
      </w:r>
      <w:r w:rsidR="00272967" w:rsidRPr="00680B67">
        <w:rPr>
          <w:rFonts w:ascii="Helvetica Neue" w:eastAsia="Times New Roman" w:hAnsi="Helvetica Neue" w:cs="Arial"/>
        </w:rPr>
        <w:t>choosing employees</w:t>
      </w:r>
      <w:r w:rsidR="00F30C0C" w:rsidRPr="00680B67">
        <w:rPr>
          <w:rFonts w:ascii="Helvetica Neue" w:eastAsia="Times New Roman" w:hAnsi="Helvetica Neue" w:cs="Arial"/>
        </w:rPr>
        <w:t>.</w:t>
      </w:r>
      <w:r w:rsidR="005B2EF0" w:rsidRPr="00680B67">
        <w:rPr>
          <w:rFonts w:ascii="Helvetica Neue" w:eastAsia="Times New Roman" w:hAnsi="Helvetica Neue" w:cs="Arial"/>
        </w:rPr>
        <w:t xml:space="preserve"> </w:t>
      </w:r>
      <w:r w:rsidR="00272967" w:rsidRPr="00680B67">
        <w:rPr>
          <w:rFonts w:ascii="Helvetica Neue" w:eastAsia="Times New Roman" w:hAnsi="Helvetica Neue" w:cs="Arial"/>
        </w:rPr>
        <w:t>For example, are</w:t>
      </w:r>
      <w:r w:rsidR="005B2EF0" w:rsidRPr="00680B67">
        <w:rPr>
          <w:rFonts w:ascii="Helvetica Neue" w:eastAsia="Times New Roman" w:hAnsi="Helvetica Neue" w:cs="Arial"/>
        </w:rPr>
        <w:t xml:space="preserve"> 2:1 </w:t>
      </w:r>
      <w:r w:rsidR="00272967" w:rsidRPr="00680B67">
        <w:rPr>
          <w:rFonts w:ascii="Helvetica Neue" w:eastAsia="Times New Roman" w:hAnsi="Helvetica Neue" w:cs="Arial"/>
        </w:rPr>
        <w:t xml:space="preserve">degrees </w:t>
      </w:r>
      <w:r w:rsidR="005B2EF0" w:rsidRPr="00680B67">
        <w:rPr>
          <w:rFonts w:ascii="Helvetica Neue" w:eastAsia="Times New Roman" w:hAnsi="Helvetica Neue" w:cs="Arial"/>
        </w:rPr>
        <w:t>awarded</w:t>
      </w:r>
      <w:r w:rsidR="00272967" w:rsidRPr="00680B67">
        <w:rPr>
          <w:rFonts w:ascii="Helvetica Neue" w:eastAsia="Times New Roman" w:hAnsi="Helvetica Neue" w:cs="Arial"/>
        </w:rPr>
        <w:t xml:space="preserve"> in different</w:t>
      </w:r>
      <w:r w:rsidR="005B2EF0" w:rsidRPr="00680B67">
        <w:rPr>
          <w:rFonts w:ascii="Helvetica Neue" w:eastAsia="Times New Roman" w:hAnsi="Helvetica Neue" w:cs="Arial"/>
        </w:rPr>
        <w:t xml:space="preserve"> institution</w:t>
      </w:r>
      <w:r w:rsidR="00272967" w:rsidRPr="00680B67">
        <w:rPr>
          <w:rFonts w:ascii="Helvetica Neue" w:eastAsia="Times New Roman" w:hAnsi="Helvetica Neue" w:cs="Arial"/>
        </w:rPr>
        <w:t>s</w:t>
      </w:r>
      <w:r w:rsidR="005B2EF0" w:rsidRPr="00680B67">
        <w:rPr>
          <w:rFonts w:ascii="Helvetica Neue" w:eastAsia="Times New Roman" w:hAnsi="Helvetica Neue" w:cs="Arial"/>
        </w:rPr>
        <w:t xml:space="preserve"> comparable</w:t>
      </w:r>
      <w:r w:rsidR="00272967" w:rsidRPr="00680B67">
        <w:rPr>
          <w:rFonts w:ascii="Helvetica Neue" w:eastAsia="Times New Roman" w:hAnsi="Helvetica Neue" w:cs="Arial"/>
        </w:rPr>
        <w:t>?</w:t>
      </w:r>
      <w:r w:rsidR="005B2EF0" w:rsidRPr="00680B67">
        <w:rPr>
          <w:rFonts w:ascii="Helvetica Neue" w:eastAsia="Times New Roman" w:hAnsi="Helvetica Neue" w:cs="Arial"/>
        </w:rPr>
        <w:t xml:space="preserve"> </w:t>
      </w:r>
    </w:p>
    <w:p w:rsidR="00F30C0C" w:rsidRPr="00680B67" w:rsidRDefault="00794989"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A</w:t>
      </w:r>
      <w:r w:rsidR="00F30C0C" w:rsidRPr="00680B67">
        <w:rPr>
          <w:rFonts w:ascii="Helvetica Neue" w:eastAsia="Times New Roman" w:hAnsi="Helvetica Neue" w:cs="Arial"/>
        </w:rPr>
        <w:t>s student numbers increase</w:t>
      </w:r>
      <w:r w:rsidRPr="00680B67">
        <w:rPr>
          <w:rFonts w:ascii="Helvetica Neue" w:eastAsia="Times New Roman" w:hAnsi="Helvetica Neue" w:cs="Arial"/>
        </w:rPr>
        <w:t xml:space="preserve"> and</w:t>
      </w:r>
      <w:r w:rsidR="00F30C0C" w:rsidRPr="00680B67">
        <w:rPr>
          <w:rFonts w:ascii="Helvetica Neue" w:eastAsia="Times New Roman" w:hAnsi="Helvetica Neue" w:cs="Arial"/>
        </w:rPr>
        <w:t xml:space="preserve"> a higher percentage of the population attend university,</w:t>
      </w:r>
      <w:r w:rsidRPr="00680B67">
        <w:rPr>
          <w:rFonts w:ascii="Helvetica Neue" w:eastAsia="Times New Roman" w:hAnsi="Helvetica Neue" w:cs="Arial"/>
        </w:rPr>
        <w:t xml:space="preserve"> the student cohort has become more diverse. </w:t>
      </w:r>
      <w:r w:rsidR="00272967" w:rsidRPr="00680B67">
        <w:rPr>
          <w:rFonts w:ascii="Helvetica Neue" w:eastAsia="Times New Roman" w:hAnsi="Helvetica Neue" w:cs="Arial"/>
        </w:rPr>
        <w:t>T</w:t>
      </w:r>
      <w:r w:rsidR="00F30C0C" w:rsidRPr="00680B67">
        <w:rPr>
          <w:rFonts w:ascii="Helvetica Neue" w:eastAsia="Times New Roman" w:hAnsi="Helvetica Neue" w:cs="Arial"/>
        </w:rPr>
        <w:t xml:space="preserve">here is also an increased diversity in providers of tertiary education. </w:t>
      </w:r>
      <w:r w:rsidR="00272967" w:rsidRPr="00680B67">
        <w:rPr>
          <w:rFonts w:ascii="Helvetica Neue" w:eastAsia="Times New Roman" w:hAnsi="Helvetica Neue" w:cs="Arial"/>
        </w:rPr>
        <w:t xml:space="preserve">The HEFCE review </w:t>
      </w:r>
      <w:r w:rsidR="005B2EF0" w:rsidRPr="00680B67">
        <w:rPr>
          <w:rFonts w:ascii="Helvetica Neue" w:eastAsia="Times New Roman" w:hAnsi="Helvetica Neue" w:cs="Arial"/>
        </w:rPr>
        <w:t>suggested that</w:t>
      </w:r>
      <w:r w:rsidR="00F30C0C" w:rsidRPr="00680B67">
        <w:rPr>
          <w:rFonts w:ascii="Helvetica Neue" w:eastAsia="Times New Roman" w:hAnsi="Helvetica Neue" w:cs="Arial"/>
        </w:rPr>
        <w:t xml:space="preserve"> a</w:t>
      </w:r>
      <w:r w:rsidR="005B2EF0" w:rsidRPr="00680B67">
        <w:rPr>
          <w:rFonts w:ascii="Helvetica Neue" w:eastAsia="Times New Roman" w:hAnsi="Helvetica Neue" w:cs="Arial"/>
        </w:rPr>
        <w:t xml:space="preserve"> “one size fits all” </w:t>
      </w:r>
      <w:r w:rsidR="00F30C0C" w:rsidRPr="00680B67">
        <w:rPr>
          <w:rFonts w:ascii="Helvetica Neue" w:eastAsia="Times New Roman" w:hAnsi="Helvetica Neue" w:cs="Arial"/>
        </w:rPr>
        <w:t>approach can no longer feasibly apply and that the processes used in external assessments (including how external examiners are used) must be re</w:t>
      </w:r>
      <w:r w:rsidR="00272967" w:rsidRPr="00680B67">
        <w:rPr>
          <w:rFonts w:ascii="Helvetica Neue" w:eastAsia="Times New Roman" w:hAnsi="Helvetica Neue" w:cs="Arial"/>
        </w:rPr>
        <w:t>considered</w:t>
      </w:r>
      <w:r w:rsidR="00F30C0C" w:rsidRPr="00680B67">
        <w:rPr>
          <w:rFonts w:ascii="Helvetica Neue" w:eastAsia="Times New Roman" w:hAnsi="Helvetica Neue" w:cs="Arial"/>
        </w:rPr>
        <w:t>.</w:t>
      </w:r>
      <w:r w:rsidR="00BE2414" w:rsidRPr="00680B67">
        <w:rPr>
          <w:rFonts w:ascii="Helvetica Neue" w:eastAsia="Times New Roman" w:hAnsi="Helvetica Neue" w:cs="Arial"/>
        </w:rPr>
        <w:t xml:space="preserve"> </w:t>
      </w:r>
      <w:r w:rsidR="00F30C0C" w:rsidRPr="00680B67">
        <w:rPr>
          <w:rFonts w:ascii="Helvetica Neue" w:eastAsia="Times New Roman" w:hAnsi="Helvetica Neue" w:cs="Arial"/>
        </w:rPr>
        <w:t xml:space="preserve"> </w:t>
      </w:r>
    </w:p>
    <w:p w:rsidR="00794989" w:rsidRPr="009E5887" w:rsidRDefault="00106339" w:rsidP="00680B67">
      <w:pPr>
        <w:pStyle w:val="ListParagraph"/>
        <w:numPr>
          <w:ilvl w:val="0"/>
          <w:numId w:val="24"/>
        </w:numPr>
        <w:rPr>
          <w:rFonts w:ascii="Helvetica Neue" w:hAnsi="Helvetica Neue"/>
          <w:b/>
        </w:rPr>
      </w:pPr>
      <w:r w:rsidRPr="00680B67">
        <w:rPr>
          <w:rFonts w:ascii="Helvetica Neue" w:eastAsia="Times New Roman" w:hAnsi="Helvetica Neue" w:cs="Arial"/>
          <w:b/>
        </w:rPr>
        <w:t>Will the proposed changes to the quality assurance process in universities, as outlined by HEFCE in its consultation, improve quality in Higher Education? </w:t>
      </w:r>
    </w:p>
    <w:p w:rsidR="00B05E4C" w:rsidRPr="009E5887" w:rsidRDefault="00395D6A" w:rsidP="00680B67">
      <w:pPr>
        <w:pStyle w:val="Default"/>
        <w:numPr>
          <w:ilvl w:val="0"/>
          <w:numId w:val="18"/>
        </w:numPr>
        <w:rPr>
          <w:rFonts w:ascii="Helvetica Neue" w:hAnsi="Helvetica Neue"/>
          <w:sz w:val="22"/>
          <w:szCs w:val="22"/>
        </w:rPr>
      </w:pPr>
      <w:r w:rsidRPr="009E5887">
        <w:rPr>
          <w:rFonts w:ascii="Helvetica Neue" w:hAnsi="Helvetica Neue"/>
          <w:sz w:val="22"/>
          <w:szCs w:val="22"/>
        </w:rPr>
        <w:t xml:space="preserve">The Royal Society of Biology agrees with the general principles </w:t>
      </w:r>
      <w:r w:rsidR="00F7326D" w:rsidRPr="009E5887">
        <w:rPr>
          <w:rFonts w:ascii="Helvetica Neue" w:hAnsi="Helvetica Neue"/>
          <w:sz w:val="22"/>
          <w:szCs w:val="22"/>
        </w:rPr>
        <w:t>that</w:t>
      </w:r>
      <w:r w:rsidRPr="009E5887">
        <w:rPr>
          <w:rFonts w:ascii="Helvetica Neue" w:hAnsi="Helvetica Neue"/>
          <w:sz w:val="22"/>
          <w:szCs w:val="22"/>
        </w:rPr>
        <w:t xml:space="preserve"> will be used to underpin the approach to quality assessment within providers of higher education. There is potential for the changes to have a positive impact on the quality of higher education,</w:t>
      </w:r>
      <w:r w:rsidR="00272967" w:rsidRPr="009E5887">
        <w:rPr>
          <w:rFonts w:ascii="Helvetica Neue" w:hAnsi="Helvetica Neue"/>
          <w:sz w:val="22"/>
          <w:szCs w:val="22"/>
        </w:rPr>
        <w:t xml:space="preserve"> for example raising the status of teaching with better recognition for excellent teachers</w:t>
      </w:r>
      <w:r w:rsidR="00125E39" w:rsidRPr="009E5887">
        <w:rPr>
          <w:rFonts w:ascii="Helvetica Neue" w:hAnsi="Helvetica Neue"/>
          <w:sz w:val="22"/>
          <w:szCs w:val="22"/>
        </w:rPr>
        <w:t>,</w:t>
      </w:r>
      <w:r w:rsidR="00272967" w:rsidRPr="009E5887">
        <w:rPr>
          <w:rFonts w:ascii="Helvetica Neue" w:hAnsi="Helvetica Neue"/>
          <w:sz w:val="22"/>
          <w:szCs w:val="22"/>
        </w:rPr>
        <w:t xml:space="preserve"> </w:t>
      </w:r>
      <w:r w:rsidRPr="009E5887">
        <w:rPr>
          <w:rFonts w:ascii="Helvetica Neue" w:hAnsi="Helvetica Neue"/>
          <w:sz w:val="22"/>
          <w:szCs w:val="22"/>
        </w:rPr>
        <w:t>but some aspects require careful consideration.</w:t>
      </w:r>
    </w:p>
    <w:p w:rsidR="00B05E4C" w:rsidRPr="009E5887" w:rsidRDefault="00B05E4C" w:rsidP="00395D6A">
      <w:pPr>
        <w:pStyle w:val="Default"/>
        <w:rPr>
          <w:rFonts w:ascii="Helvetica Neue" w:hAnsi="Helvetica Neue"/>
          <w:sz w:val="22"/>
          <w:szCs w:val="22"/>
        </w:rPr>
      </w:pPr>
      <w:r w:rsidRPr="009E5887">
        <w:rPr>
          <w:rFonts w:ascii="Helvetica Neue" w:hAnsi="Helvetica Neue"/>
          <w:sz w:val="22"/>
          <w:szCs w:val="22"/>
        </w:rPr>
        <w:tab/>
      </w:r>
    </w:p>
    <w:p w:rsidR="00BF5002" w:rsidRPr="009E5887" w:rsidRDefault="00395D6A" w:rsidP="00680B67">
      <w:pPr>
        <w:pStyle w:val="Default"/>
        <w:numPr>
          <w:ilvl w:val="0"/>
          <w:numId w:val="18"/>
        </w:numPr>
        <w:rPr>
          <w:rFonts w:ascii="Helvetica Neue" w:hAnsi="Helvetica Neue"/>
          <w:sz w:val="22"/>
          <w:szCs w:val="22"/>
        </w:rPr>
      </w:pPr>
      <w:r w:rsidRPr="009E5887">
        <w:rPr>
          <w:rFonts w:ascii="Helvetica Neue" w:hAnsi="Helvetica Neue"/>
          <w:sz w:val="22"/>
          <w:szCs w:val="22"/>
        </w:rPr>
        <w:t xml:space="preserve">Increases </w:t>
      </w:r>
      <w:r w:rsidR="00482BFC" w:rsidRPr="009E5887">
        <w:rPr>
          <w:rFonts w:ascii="Helvetica Neue" w:hAnsi="Helvetica Neue"/>
          <w:sz w:val="22"/>
          <w:szCs w:val="22"/>
        </w:rPr>
        <w:t>in</w:t>
      </w:r>
      <w:r w:rsidRPr="009E5887">
        <w:rPr>
          <w:rFonts w:ascii="Helvetica Neue" w:hAnsi="Helvetica Neue"/>
          <w:sz w:val="22"/>
          <w:szCs w:val="22"/>
        </w:rPr>
        <w:t xml:space="preserve"> the numbers of students achieving first class degrees </w:t>
      </w:r>
      <w:r w:rsidR="00047FCB" w:rsidRPr="009E5887">
        <w:rPr>
          <w:rFonts w:ascii="Helvetica Neue" w:hAnsi="Helvetica Neue"/>
          <w:sz w:val="22"/>
          <w:szCs w:val="22"/>
        </w:rPr>
        <w:t xml:space="preserve">may be due to </w:t>
      </w:r>
      <w:r w:rsidR="00EC45F0" w:rsidRPr="009E5887">
        <w:rPr>
          <w:rFonts w:ascii="Helvetica Neue" w:hAnsi="Helvetica Neue"/>
          <w:sz w:val="22"/>
          <w:szCs w:val="22"/>
        </w:rPr>
        <w:t xml:space="preserve">more effective </w:t>
      </w:r>
      <w:r w:rsidR="00047FCB" w:rsidRPr="009E5887">
        <w:rPr>
          <w:rFonts w:ascii="Helvetica Neue" w:hAnsi="Helvetica Neue"/>
          <w:sz w:val="22"/>
          <w:szCs w:val="22"/>
        </w:rPr>
        <w:t>teaching</w:t>
      </w:r>
      <w:r w:rsidR="00EC45F0" w:rsidRPr="009E5887">
        <w:rPr>
          <w:rFonts w:ascii="Helvetica Neue" w:hAnsi="Helvetica Neue"/>
          <w:sz w:val="22"/>
          <w:szCs w:val="22"/>
        </w:rPr>
        <w:t>, use of innovative teaching techniques</w:t>
      </w:r>
      <w:r w:rsidR="00952014" w:rsidRPr="009E5887">
        <w:rPr>
          <w:rFonts w:ascii="Helvetica Neue" w:hAnsi="Helvetica Neue"/>
          <w:sz w:val="22"/>
          <w:szCs w:val="22"/>
        </w:rPr>
        <w:t>,</w:t>
      </w:r>
      <w:r w:rsidR="00EC45F0" w:rsidRPr="009E5887">
        <w:rPr>
          <w:rFonts w:ascii="Helvetica Neue" w:hAnsi="Helvetica Neue"/>
          <w:sz w:val="22"/>
          <w:szCs w:val="22"/>
        </w:rPr>
        <w:t xml:space="preserve"> differences in the curriculum</w:t>
      </w:r>
      <w:r w:rsidR="00952014" w:rsidRPr="009E5887">
        <w:rPr>
          <w:rFonts w:ascii="Helvetica Neue" w:hAnsi="Helvetica Neue"/>
          <w:sz w:val="22"/>
          <w:szCs w:val="22"/>
        </w:rPr>
        <w:t>, students working more effectively,</w:t>
      </w:r>
      <w:r w:rsidR="00047FCB" w:rsidRPr="009E5887">
        <w:rPr>
          <w:rFonts w:ascii="Helvetica Neue" w:hAnsi="Helvetica Neue"/>
          <w:sz w:val="22"/>
          <w:szCs w:val="22"/>
        </w:rPr>
        <w:t xml:space="preserve"> rather than grade inflation. </w:t>
      </w:r>
      <w:r w:rsidR="00BE2414" w:rsidRPr="00680B67">
        <w:rPr>
          <w:rFonts w:ascii="Helvetica Neue" w:eastAsia="Times New Roman" w:hAnsi="Helvetica Neue"/>
          <w:sz w:val="22"/>
          <w:szCs w:val="22"/>
        </w:rPr>
        <w:t>The Teaching Excellence Framework (TEF) could provide a means to capture the assessment criteria information that degree class is based upon, to help ensure comparability across institutions. This information could enable employers to better understand the skills and competencies that a graduate should be able to demonstrate.</w:t>
      </w:r>
      <w:r w:rsidR="00DA40EB" w:rsidRPr="009E5887">
        <w:rPr>
          <w:rFonts w:ascii="Helvetica Neue" w:eastAsia="Times New Roman" w:hAnsi="Helvetica Neue"/>
          <w:sz w:val="22"/>
          <w:szCs w:val="22"/>
        </w:rPr>
        <w:t xml:space="preserve"> It would also be beneficial to be able to demonstrate the value added for students.</w:t>
      </w:r>
      <w:r w:rsidR="00BE2414" w:rsidRPr="00680B67">
        <w:rPr>
          <w:rFonts w:ascii="Helvetica Neue" w:eastAsia="Times New Roman" w:hAnsi="Helvetica Neue"/>
          <w:sz w:val="22"/>
          <w:szCs w:val="22"/>
        </w:rPr>
        <w:t xml:space="preserve">  </w:t>
      </w:r>
    </w:p>
    <w:p w:rsidR="00EA53E8" w:rsidRPr="009E5887" w:rsidRDefault="00BF5002" w:rsidP="00B05E4C">
      <w:pPr>
        <w:pStyle w:val="Default"/>
        <w:rPr>
          <w:rFonts w:ascii="Helvetica Neue" w:hAnsi="Helvetica Neue"/>
          <w:sz w:val="22"/>
          <w:szCs w:val="22"/>
        </w:rPr>
      </w:pPr>
      <w:r w:rsidRPr="009E5887">
        <w:rPr>
          <w:rFonts w:ascii="Helvetica Neue" w:hAnsi="Helvetica Neue"/>
          <w:sz w:val="22"/>
          <w:szCs w:val="22"/>
        </w:rPr>
        <w:tab/>
      </w:r>
    </w:p>
    <w:p w:rsidR="00BF5002" w:rsidRPr="009E5887" w:rsidRDefault="00DA40EB" w:rsidP="00680B67">
      <w:pPr>
        <w:pStyle w:val="Default"/>
        <w:numPr>
          <w:ilvl w:val="0"/>
          <w:numId w:val="18"/>
        </w:numPr>
        <w:rPr>
          <w:rFonts w:ascii="Helvetica Neue" w:hAnsi="Helvetica Neue"/>
          <w:sz w:val="22"/>
          <w:szCs w:val="22"/>
        </w:rPr>
      </w:pPr>
      <w:r w:rsidRPr="009E5887">
        <w:rPr>
          <w:rFonts w:ascii="Helvetica Neue" w:hAnsi="Helvetica Neue"/>
          <w:sz w:val="22"/>
          <w:szCs w:val="22"/>
        </w:rPr>
        <w:t>We are supportive of the suggestion for external examiners practice to be standardised, however a</w:t>
      </w:r>
      <w:r w:rsidR="00047FCB" w:rsidRPr="009E5887">
        <w:rPr>
          <w:rFonts w:ascii="Helvetica Neue" w:hAnsi="Helvetica Neue"/>
          <w:sz w:val="22"/>
          <w:szCs w:val="22"/>
        </w:rPr>
        <w:t>dditional training requirements for external examiners may put pressure on subjects which already have a shortage of examiners.  If the suggested changes resulted in a greater demand on st</w:t>
      </w:r>
      <w:r w:rsidR="002E24C0" w:rsidRPr="009E5887">
        <w:rPr>
          <w:rFonts w:ascii="Helvetica Neue" w:hAnsi="Helvetica Neue"/>
          <w:sz w:val="22"/>
          <w:szCs w:val="22"/>
        </w:rPr>
        <w:t xml:space="preserve">aff time to take part in review </w:t>
      </w:r>
      <w:r w:rsidR="00047FCB" w:rsidRPr="009E5887">
        <w:rPr>
          <w:rFonts w:ascii="Helvetica Neue" w:hAnsi="Helvetica Neue"/>
          <w:sz w:val="22"/>
          <w:szCs w:val="22"/>
        </w:rPr>
        <w:t>processes</w:t>
      </w:r>
      <w:r w:rsidR="00125E39" w:rsidRPr="009E5887">
        <w:rPr>
          <w:rFonts w:ascii="Helvetica Neue" w:hAnsi="Helvetica Neue"/>
          <w:sz w:val="22"/>
          <w:szCs w:val="22"/>
        </w:rPr>
        <w:t>,</w:t>
      </w:r>
      <w:r w:rsidR="00047FCB" w:rsidRPr="009E5887">
        <w:rPr>
          <w:rFonts w:ascii="Helvetica Neue" w:hAnsi="Helvetica Neue"/>
          <w:sz w:val="22"/>
          <w:szCs w:val="22"/>
        </w:rPr>
        <w:t xml:space="preserve"> within their own department and again outside their institution as an external examiner</w:t>
      </w:r>
      <w:r w:rsidR="00B05E4C" w:rsidRPr="009E5887">
        <w:rPr>
          <w:rFonts w:ascii="Helvetica Neue" w:hAnsi="Helvetica Neue"/>
          <w:sz w:val="22"/>
          <w:szCs w:val="22"/>
        </w:rPr>
        <w:t xml:space="preserve"> this </w:t>
      </w:r>
      <w:r w:rsidR="00176500" w:rsidRPr="009E5887">
        <w:rPr>
          <w:rFonts w:ascii="Helvetica Neue" w:hAnsi="Helvetica Neue"/>
          <w:sz w:val="22"/>
          <w:szCs w:val="22"/>
        </w:rPr>
        <w:t>w</w:t>
      </w:r>
      <w:r w:rsidR="00B05E4C" w:rsidRPr="009E5887">
        <w:rPr>
          <w:rFonts w:ascii="Helvetica Neue" w:hAnsi="Helvetica Neue"/>
          <w:sz w:val="22"/>
          <w:szCs w:val="22"/>
        </w:rPr>
        <w:t>ould impact on time available to spend with students</w:t>
      </w:r>
      <w:r w:rsidR="00176500" w:rsidRPr="009E5887">
        <w:rPr>
          <w:rFonts w:ascii="Helvetica Neue" w:hAnsi="Helvetica Neue"/>
          <w:sz w:val="22"/>
          <w:szCs w:val="22"/>
        </w:rPr>
        <w:t xml:space="preserve"> and would also incur </w:t>
      </w:r>
      <w:r w:rsidR="00F7326D" w:rsidRPr="009E5887">
        <w:rPr>
          <w:rFonts w:ascii="Helvetica Neue" w:hAnsi="Helvetica Neue"/>
          <w:sz w:val="22"/>
          <w:szCs w:val="22"/>
        </w:rPr>
        <w:t xml:space="preserve">additional </w:t>
      </w:r>
      <w:r w:rsidR="002E24C0" w:rsidRPr="009E5887">
        <w:rPr>
          <w:rFonts w:ascii="Helvetica Neue" w:hAnsi="Helvetica Neue"/>
          <w:sz w:val="22"/>
          <w:szCs w:val="22"/>
        </w:rPr>
        <w:t>financial costs</w:t>
      </w:r>
      <w:r w:rsidR="00B05E4C" w:rsidRPr="009E5887">
        <w:rPr>
          <w:rFonts w:ascii="Helvetica Neue" w:hAnsi="Helvetica Neue"/>
          <w:sz w:val="22"/>
          <w:szCs w:val="22"/>
        </w:rPr>
        <w:t xml:space="preserve">. </w:t>
      </w:r>
    </w:p>
    <w:p w:rsidR="00EA53E8" w:rsidRPr="009E5887" w:rsidRDefault="00BF5002" w:rsidP="00B05E4C">
      <w:pPr>
        <w:pStyle w:val="Default"/>
        <w:rPr>
          <w:rFonts w:ascii="Helvetica Neue" w:hAnsi="Helvetica Neue"/>
          <w:sz w:val="22"/>
          <w:szCs w:val="22"/>
        </w:rPr>
      </w:pPr>
      <w:r w:rsidRPr="009E5887">
        <w:rPr>
          <w:rFonts w:ascii="Helvetica Neue" w:hAnsi="Helvetica Neue"/>
          <w:sz w:val="22"/>
          <w:szCs w:val="22"/>
        </w:rPr>
        <w:tab/>
      </w:r>
    </w:p>
    <w:p w:rsidR="0005457B" w:rsidRPr="009E5887" w:rsidRDefault="00B05E4C" w:rsidP="00680B67">
      <w:pPr>
        <w:pStyle w:val="Default"/>
        <w:numPr>
          <w:ilvl w:val="0"/>
          <w:numId w:val="18"/>
        </w:numPr>
        <w:rPr>
          <w:rFonts w:ascii="Helvetica Neue" w:hAnsi="Helvetica Neue"/>
          <w:sz w:val="22"/>
          <w:szCs w:val="22"/>
        </w:rPr>
      </w:pPr>
      <w:r w:rsidRPr="009E5887">
        <w:rPr>
          <w:rFonts w:ascii="Helvetica Neue" w:hAnsi="Helvetica Neue"/>
          <w:sz w:val="22"/>
          <w:szCs w:val="22"/>
        </w:rPr>
        <w:t>If</w:t>
      </w:r>
      <w:r w:rsidR="00395D6A" w:rsidRPr="009E5887">
        <w:rPr>
          <w:rFonts w:ascii="Helvetica Neue" w:hAnsi="Helvetica Neue"/>
          <w:sz w:val="22"/>
          <w:szCs w:val="22"/>
        </w:rPr>
        <w:t xml:space="preserve"> the arrangements made to regulate this system are not implemented well, this </w:t>
      </w:r>
      <w:r w:rsidR="002E24C0" w:rsidRPr="009E5887">
        <w:rPr>
          <w:rFonts w:ascii="Helvetica Neue" w:hAnsi="Helvetica Neue"/>
          <w:sz w:val="22"/>
          <w:szCs w:val="22"/>
        </w:rPr>
        <w:t>could</w:t>
      </w:r>
      <w:r w:rsidR="00395D6A" w:rsidRPr="009E5887">
        <w:rPr>
          <w:rFonts w:ascii="Helvetica Neue" w:hAnsi="Helvetica Neue"/>
          <w:sz w:val="22"/>
          <w:szCs w:val="22"/>
        </w:rPr>
        <w:t xml:space="preserve"> have serious repercussions for the students</w:t>
      </w:r>
      <w:r w:rsidR="00176500" w:rsidRPr="009E5887">
        <w:rPr>
          <w:rFonts w:ascii="Helvetica Neue" w:hAnsi="Helvetica Neue"/>
          <w:sz w:val="22"/>
          <w:szCs w:val="22"/>
        </w:rPr>
        <w:t>’</w:t>
      </w:r>
      <w:r w:rsidR="00395D6A" w:rsidRPr="009E5887">
        <w:rPr>
          <w:rFonts w:ascii="Helvetica Neue" w:hAnsi="Helvetica Neue"/>
          <w:sz w:val="22"/>
          <w:szCs w:val="22"/>
        </w:rPr>
        <w:t xml:space="preserve"> experience</w:t>
      </w:r>
      <w:r w:rsidR="007A7A3C" w:rsidRPr="009E5887">
        <w:rPr>
          <w:rFonts w:ascii="Helvetica Neue" w:hAnsi="Helvetica Neue"/>
          <w:sz w:val="22"/>
          <w:szCs w:val="22"/>
        </w:rPr>
        <w:t>.</w:t>
      </w:r>
      <w:r w:rsidR="00395D6A" w:rsidRPr="009E5887">
        <w:rPr>
          <w:rFonts w:ascii="Helvetica Neue" w:hAnsi="Helvetica Neue"/>
          <w:sz w:val="22"/>
          <w:szCs w:val="22"/>
        </w:rPr>
        <w:t xml:space="preserve"> </w:t>
      </w:r>
    </w:p>
    <w:p w:rsidR="0005457B" w:rsidRPr="00680B67" w:rsidRDefault="0005457B" w:rsidP="00680B67">
      <w:pPr>
        <w:pStyle w:val="ListParagraph"/>
        <w:numPr>
          <w:ilvl w:val="0"/>
          <w:numId w:val="24"/>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What should be the objectives of a Teaching Excellence Framework (‘TEF’)?</w:t>
      </w:r>
      <w:r w:rsidRPr="00680B67">
        <w:rPr>
          <w:rFonts w:ascii="Helvetica Neue" w:eastAsia="Times New Roman" w:hAnsi="Helvetica Neue" w:cs="Arial"/>
          <w:b/>
        </w:rPr>
        <w:tab/>
      </w:r>
      <w:r w:rsidRPr="00680B67">
        <w:rPr>
          <w:rFonts w:ascii="Helvetica Neue" w:eastAsia="Times New Roman" w:hAnsi="Helvetica Neue" w:cs="Arial"/>
          <w:b/>
        </w:rPr>
        <w:tab/>
        <w:t xml:space="preserve"> </w:t>
      </w:r>
    </w:p>
    <w:p w:rsidR="00880DDE" w:rsidRPr="00680B67" w:rsidRDefault="0005457B" w:rsidP="00880DDE">
      <w:pPr>
        <w:pStyle w:val="ListParagraph"/>
        <w:numPr>
          <w:ilvl w:val="0"/>
          <w:numId w:val="19"/>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 xml:space="preserve">How should a TEF benefit students? </w:t>
      </w:r>
    </w:p>
    <w:p w:rsidR="00B8258E" w:rsidRPr="00680B67" w:rsidRDefault="00955362"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The main objective of the Teaching Excellence Framework should be for it to </w:t>
      </w:r>
      <w:r w:rsidR="00B5204C" w:rsidRPr="00680B67">
        <w:rPr>
          <w:rFonts w:ascii="Helvetica Neue" w:eastAsia="Times New Roman" w:hAnsi="Helvetica Neue" w:cs="Arial"/>
        </w:rPr>
        <w:t>recognise excellence in teaching</w:t>
      </w:r>
      <w:r w:rsidR="00125E39" w:rsidRPr="00680B67">
        <w:rPr>
          <w:rFonts w:ascii="Helvetica Neue" w:eastAsia="Times New Roman" w:hAnsi="Helvetica Neue" w:cs="Arial"/>
        </w:rPr>
        <w:t>. It should</w:t>
      </w:r>
      <w:r w:rsidR="00B5204C" w:rsidRPr="00680B67">
        <w:rPr>
          <w:rFonts w:ascii="Helvetica Neue" w:eastAsia="Times New Roman" w:hAnsi="Helvetica Neue" w:cs="Arial"/>
        </w:rPr>
        <w:t xml:space="preserve"> </w:t>
      </w:r>
      <w:r w:rsidRPr="00680B67">
        <w:rPr>
          <w:rFonts w:ascii="Helvetica Neue" w:eastAsia="Times New Roman" w:hAnsi="Helvetica Neue" w:cs="Arial"/>
        </w:rPr>
        <w:t xml:space="preserve">support </w:t>
      </w:r>
      <w:r w:rsidR="007A7A3C" w:rsidRPr="00680B67">
        <w:rPr>
          <w:rFonts w:ascii="Helvetica Neue" w:eastAsia="Times New Roman" w:hAnsi="Helvetica Neue" w:cs="Arial"/>
        </w:rPr>
        <w:t>improvement in</w:t>
      </w:r>
      <w:r w:rsidRPr="00680B67">
        <w:rPr>
          <w:rFonts w:ascii="Helvetica Neue" w:eastAsia="Times New Roman" w:hAnsi="Helvetica Neue" w:cs="Arial"/>
        </w:rPr>
        <w:t xml:space="preserve"> teaching within higher education</w:t>
      </w:r>
      <w:r w:rsidR="00C30328" w:rsidRPr="00680B67">
        <w:rPr>
          <w:rFonts w:ascii="Helvetica Neue" w:eastAsia="Times New Roman" w:hAnsi="Helvetica Neue" w:cs="Arial"/>
        </w:rPr>
        <w:t xml:space="preserve"> by sharing and enhancing the good practice that already goes on across the country </w:t>
      </w:r>
      <w:r w:rsidRPr="00680B67">
        <w:rPr>
          <w:rFonts w:ascii="Helvetica Neue" w:eastAsia="Times New Roman" w:hAnsi="Helvetica Neue" w:cs="Arial"/>
        </w:rPr>
        <w:t xml:space="preserve">and in doing so </w:t>
      </w:r>
      <w:r w:rsidR="00B5204C" w:rsidRPr="00680B67">
        <w:rPr>
          <w:rFonts w:ascii="Helvetica Neue" w:eastAsia="Times New Roman" w:hAnsi="Helvetica Neue" w:cs="Arial"/>
        </w:rPr>
        <w:t xml:space="preserve">improve the </w:t>
      </w:r>
      <w:r w:rsidR="007A7A3C" w:rsidRPr="00680B67">
        <w:rPr>
          <w:rFonts w:ascii="Helvetica Neue" w:eastAsia="Times New Roman" w:hAnsi="Helvetica Neue" w:cs="Arial"/>
        </w:rPr>
        <w:t>outcomes for students, teacher</w:t>
      </w:r>
      <w:r w:rsidR="001E49F0" w:rsidRPr="00680B67">
        <w:rPr>
          <w:rFonts w:ascii="Helvetica Neue" w:eastAsia="Times New Roman" w:hAnsi="Helvetica Neue" w:cs="Arial"/>
        </w:rPr>
        <w:t>s</w:t>
      </w:r>
      <w:r w:rsidR="007A7A3C" w:rsidRPr="00680B67">
        <w:rPr>
          <w:rFonts w:ascii="Helvetica Neue" w:eastAsia="Times New Roman" w:hAnsi="Helvetica Neue" w:cs="Arial"/>
        </w:rPr>
        <w:t xml:space="preserve"> and society.</w:t>
      </w:r>
      <w:r w:rsidR="001E49F0" w:rsidRPr="00680B67">
        <w:rPr>
          <w:rFonts w:ascii="Helvetica Neue" w:eastAsia="Times New Roman" w:hAnsi="Helvetica Neue" w:cs="Arial"/>
        </w:rPr>
        <w:t xml:space="preserve"> </w:t>
      </w:r>
    </w:p>
    <w:p w:rsidR="00E55CDD" w:rsidRPr="00680B67" w:rsidRDefault="00955362" w:rsidP="00680B67">
      <w:pPr>
        <w:pStyle w:val="ListParagraph"/>
        <w:numPr>
          <w:ilvl w:val="0"/>
          <w:numId w:val="18"/>
        </w:numPr>
        <w:rPr>
          <w:rFonts w:ascii="Helvetica Neue" w:hAnsi="Helvetica Neue"/>
        </w:rPr>
      </w:pPr>
      <w:r w:rsidRPr="00680B67">
        <w:rPr>
          <w:rFonts w:ascii="Helvetica Neue" w:eastAsia="Times New Roman" w:hAnsi="Helvetica Neue" w:cs="Arial"/>
        </w:rPr>
        <w:lastRenderedPageBreak/>
        <w:t xml:space="preserve">The TEF could increase </w:t>
      </w:r>
      <w:r w:rsidR="00A66612" w:rsidRPr="00680B67">
        <w:rPr>
          <w:rFonts w:ascii="Helvetica Neue" w:eastAsia="Times New Roman" w:hAnsi="Helvetica Neue" w:cs="Arial"/>
        </w:rPr>
        <w:t xml:space="preserve">information </w:t>
      </w:r>
      <w:r w:rsidR="00DA40EB" w:rsidRPr="00680B67">
        <w:rPr>
          <w:rFonts w:ascii="Helvetica Neue" w:eastAsia="Times New Roman" w:hAnsi="Helvetica Neue" w:cs="Arial"/>
        </w:rPr>
        <w:t xml:space="preserve">available </w:t>
      </w:r>
      <w:r w:rsidRPr="00680B67">
        <w:rPr>
          <w:rFonts w:ascii="Helvetica Neue" w:eastAsia="Times New Roman" w:hAnsi="Helvetica Neue" w:cs="Arial"/>
        </w:rPr>
        <w:t xml:space="preserve">for students, helping them </w:t>
      </w:r>
      <w:r w:rsidR="001C2CDC" w:rsidRPr="00680B67">
        <w:rPr>
          <w:rFonts w:ascii="Helvetica Neue" w:eastAsia="Times New Roman" w:hAnsi="Helvetica Neue" w:cs="Arial"/>
        </w:rPr>
        <w:t xml:space="preserve">to </w:t>
      </w:r>
      <w:r w:rsidRPr="00680B67">
        <w:rPr>
          <w:rFonts w:ascii="Helvetica Neue" w:eastAsia="Times New Roman" w:hAnsi="Helvetica Neue" w:cs="Arial"/>
        </w:rPr>
        <w:t xml:space="preserve">differentiate between universities and courses on the basis of their </w:t>
      </w:r>
      <w:r w:rsidR="00A66612" w:rsidRPr="00680B67">
        <w:rPr>
          <w:rFonts w:ascii="Helvetica Neue" w:eastAsia="Times New Roman" w:hAnsi="Helvetica Neue" w:cs="Arial"/>
        </w:rPr>
        <w:t xml:space="preserve">assessed </w:t>
      </w:r>
      <w:r w:rsidR="004B5E15" w:rsidRPr="00680B67">
        <w:rPr>
          <w:rFonts w:ascii="Helvetica Neue" w:eastAsia="Times New Roman" w:hAnsi="Helvetica Neue" w:cs="Arial"/>
        </w:rPr>
        <w:t>teaching</w:t>
      </w:r>
      <w:r w:rsidR="00A66612" w:rsidRPr="00680B67">
        <w:rPr>
          <w:rFonts w:ascii="Helvetica Neue" w:eastAsia="Times New Roman" w:hAnsi="Helvetica Neue" w:cs="Arial"/>
        </w:rPr>
        <w:t xml:space="preserve"> performance</w:t>
      </w:r>
      <w:r w:rsidR="004B5E15" w:rsidRPr="00680B67">
        <w:rPr>
          <w:rFonts w:ascii="Helvetica Neue" w:eastAsia="Times New Roman" w:hAnsi="Helvetica Neue" w:cs="Arial"/>
        </w:rPr>
        <w:t>.</w:t>
      </w:r>
      <w:r w:rsidR="00DA40EB" w:rsidRPr="00680B67">
        <w:rPr>
          <w:rFonts w:ascii="Helvetica Neue" w:eastAsia="Times New Roman" w:hAnsi="Helvetica Neue" w:cs="Arial"/>
        </w:rPr>
        <w:t xml:space="preserve"> </w:t>
      </w:r>
      <w:r w:rsidR="00204EF0" w:rsidRPr="00680B67">
        <w:rPr>
          <w:rFonts w:ascii="Helvetica Neue" w:eastAsia="Times New Roman" w:hAnsi="Helvetica Neue" w:cs="Arial"/>
        </w:rPr>
        <w:t xml:space="preserve">We would hope that </w:t>
      </w:r>
      <w:r w:rsidR="00DA40EB" w:rsidRPr="00680B67">
        <w:rPr>
          <w:rFonts w:ascii="Helvetica Neue" w:eastAsia="Times New Roman" w:hAnsi="Helvetica Neue" w:cs="Arial"/>
        </w:rPr>
        <w:t xml:space="preserve">the TEF </w:t>
      </w:r>
      <w:r w:rsidR="00204EF0" w:rsidRPr="00680B67">
        <w:rPr>
          <w:rFonts w:ascii="Helvetica Neue" w:eastAsia="Times New Roman" w:hAnsi="Helvetica Neue" w:cs="Arial"/>
        </w:rPr>
        <w:t xml:space="preserve">could lead to more consistent high quality teaching for students across courses and universities. </w:t>
      </w:r>
    </w:p>
    <w:p w:rsidR="00E55CDD" w:rsidRPr="00680B67" w:rsidRDefault="00E55CDD" w:rsidP="00680B67">
      <w:pPr>
        <w:pStyle w:val="ListParagraph"/>
        <w:numPr>
          <w:ilvl w:val="0"/>
          <w:numId w:val="18"/>
        </w:numPr>
        <w:rPr>
          <w:rFonts w:ascii="Helvetica Neue" w:hAnsi="Helvetica Neue"/>
        </w:rPr>
      </w:pPr>
      <w:r w:rsidRPr="00680B67">
        <w:rPr>
          <w:rFonts w:ascii="Helvetica Neue" w:eastAsia="Times New Roman" w:hAnsi="Helvetica Neue" w:cs="Arial"/>
        </w:rPr>
        <w:t>The TEF should recognise the importance of programmes offering a variety of teaching, learning and assessment techniques and strategies to meet the needs of diverse student cohorts.</w:t>
      </w:r>
    </w:p>
    <w:p w:rsidR="00232842" w:rsidRPr="00680B67" w:rsidRDefault="00EE7998" w:rsidP="00680B67">
      <w:pPr>
        <w:pStyle w:val="ListParagraph"/>
        <w:numPr>
          <w:ilvl w:val="0"/>
          <w:numId w:val="18"/>
        </w:numPr>
        <w:rPr>
          <w:rFonts w:ascii="Helvetica Neue" w:hAnsi="Helvetica Neue"/>
        </w:rPr>
      </w:pPr>
      <w:r w:rsidRPr="00680B67">
        <w:rPr>
          <w:rFonts w:ascii="Helvetica Neue" w:eastAsia="Times New Roman" w:hAnsi="Helvetica Neue" w:cs="Arial"/>
        </w:rPr>
        <w:t>In bioscience degree programmes</w:t>
      </w:r>
      <w:r w:rsidR="00E55CDD" w:rsidRPr="00680B67">
        <w:rPr>
          <w:rFonts w:ascii="Helvetica Neue" w:eastAsia="Times New Roman" w:hAnsi="Helvetica Neue" w:cs="Arial"/>
        </w:rPr>
        <w:t xml:space="preserve"> </w:t>
      </w:r>
      <w:r w:rsidRPr="00680B67">
        <w:rPr>
          <w:rFonts w:ascii="Helvetica Neue" w:eastAsia="Times New Roman" w:hAnsi="Helvetica Neue" w:cs="Arial"/>
        </w:rPr>
        <w:t xml:space="preserve">it is vital that students have the opportunity to gain practical experience. This could be in the form of </w:t>
      </w:r>
      <w:r w:rsidR="00E55CDD" w:rsidRPr="00680B67">
        <w:rPr>
          <w:rFonts w:ascii="Helvetica Neue" w:eastAsia="Times New Roman" w:hAnsi="Helvetica Neue" w:cs="Arial"/>
        </w:rPr>
        <w:t>practical demonstrations, participation in practical workshops,</w:t>
      </w:r>
      <w:r w:rsidRPr="00680B67">
        <w:rPr>
          <w:rFonts w:ascii="Helvetica Neue" w:eastAsia="Times New Roman" w:hAnsi="Helvetica Neue" w:cs="Arial"/>
        </w:rPr>
        <w:t xml:space="preserve"> working on experimental design or conducting investigative work in the laboratory or the field. These experiences enable</w:t>
      </w:r>
      <w:r w:rsidR="00E55CDD" w:rsidRPr="00680B67">
        <w:rPr>
          <w:rFonts w:ascii="Helvetica Neue" w:eastAsia="Times New Roman" w:hAnsi="Helvetica Neue" w:cs="Arial"/>
        </w:rPr>
        <w:t xml:space="preserve"> students to develop their practical</w:t>
      </w:r>
      <w:r w:rsidRPr="00680B67">
        <w:rPr>
          <w:rFonts w:ascii="Helvetica Neue" w:eastAsia="Times New Roman" w:hAnsi="Helvetica Neue" w:cs="Arial"/>
        </w:rPr>
        <w:t xml:space="preserve"> skills as well as logical reasoning, numeracy, analytical, research, communication, and team work skills that are all highly valued by employers.</w:t>
      </w:r>
    </w:p>
    <w:p w:rsidR="00232842" w:rsidRPr="00680B67" w:rsidRDefault="00204EF0" w:rsidP="00680B67">
      <w:pPr>
        <w:pStyle w:val="ListParagraph"/>
        <w:numPr>
          <w:ilvl w:val="0"/>
          <w:numId w:val="18"/>
        </w:numPr>
        <w:rPr>
          <w:rFonts w:ascii="Helvetica Neue" w:hAnsi="Helvetica Neue"/>
        </w:rPr>
      </w:pPr>
      <w:r w:rsidRPr="00680B67">
        <w:rPr>
          <w:rFonts w:ascii="Helvetica Neue" w:eastAsia="Times New Roman" w:hAnsi="Helvetica Neue" w:cs="Arial"/>
        </w:rPr>
        <w:t xml:space="preserve">For practical subjects such as the biosciences </w:t>
      </w:r>
      <w:r w:rsidR="00B05E8E" w:rsidRPr="00680B67">
        <w:rPr>
          <w:rFonts w:ascii="Helvetica Neue" w:eastAsia="Times New Roman" w:hAnsi="Helvetica Neue" w:cs="Arial"/>
        </w:rPr>
        <w:t xml:space="preserve">the </w:t>
      </w:r>
      <w:r w:rsidRPr="00680B67">
        <w:rPr>
          <w:rFonts w:ascii="Helvetica Neue" w:eastAsia="Times New Roman" w:hAnsi="Helvetica Neue" w:cs="Arial"/>
        </w:rPr>
        <w:t>TEF should also give information on the qualit</w:t>
      </w:r>
      <w:r w:rsidR="00D86EDE" w:rsidRPr="00680B67">
        <w:rPr>
          <w:rFonts w:ascii="Helvetica Neue" w:eastAsia="Times New Roman" w:hAnsi="Helvetica Neue" w:cs="Arial"/>
        </w:rPr>
        <w:t xml:space="preserve">y, integration and application </w:t>
      </w:r>
      <w:r w:rsidRPr="00680B67">
        <w:rPr>
          <w:rFonts w:ascii="Helvetica Neue" w:eastAsia="Times New Roman" w:hAnsi="Helvetica Neue" w:cs="Arial"/>
        </w:rPr>
        <w:t>of practical teaching</w:t>
      </w:r>
      <w:r w:rsidR="00125E39" w:rsidRPr="00680B67">
        <w:rPr>
          <w:rFonts w:ascii="Helvetica Neue" w:eastAsia="Times New Roman" w:hAnsi="Helvetica Neue" w:cs="Arial"/>
        </w:rPr>
        <w:t xml:space="preserve"> in the laboratory and the field,</w:t>
      </w:r>
      <w:r w:rsidRPr="00680B67">
        <w:rPr>
          <w:rFonts w:ascii="Helvetica Neue" w:eastAsia="Times New Roman" w:hAnsi="Helvetica Neue" w:cs="Arial"/>
        </w:rPr>
        <w:t xml:space="preserve"> </w:t>
      </w:r>
      <w:r w:rsidR="00125E39" w:rsidRPr="00680B67">
        <w:rPr>
          <w:rFonts w:ascii="Helvetica Neue" w:hAnsi="Helvetica Neue" w:cs="Arial"/>
        </w:rPr>
        <w:t>both within the university and during external placements</w:t>
      </w:r>
      <w:r w:rsidR="00125E39" w:rsidRPr="00680B67">
        <w:rPr>
          <w:rFonts w:ascii="Helvetica Neue" w:hAnsi="Helvetica Neue"/>
        </w:rPr>
        <w:t xml:space="preserve"> </w:t>
      </w:r>
      <w:r w:rsidRPr="00680B67">
        <w:rPr>
          <w:rFonts w:ascii="Helvetica Neue" w:eastAsia="Times New Roman" w:hAnsi="Helvetica Neue" w:cs="Arial"/>
        </w:rPr>
        <w:t>alongside the teaching</w:t>
      </w:r>
      <w:r w:rsidR="00A66612" w:rsidRPr="00680B67">
        <w:rPr>
          <w:rFonts w:ascii="Helvetica Neue" w:eastAsia="Times New Roman" w:hAnsi="Helvetica Neue" w:cs="Arial"/>
        </w:rPr>
        <w:t xml:space="preserve"> of theory</w:t>
      </w:r>
      <w:r w:rsidRPr="00680B67">
        <w:rPr>
          <w:rFonts w:ascii="Helvetica Neue" w:eastAsia="Times New Roman" w:hAnsi="Helvetica Neue" w:cs="Arial"/>
        </w:rPr>
        <w:t xml:space="preserve">. </w:t>
      </w:r>
      <w:r w:rsidR="003C371F" w:rsidRPr="00680B67">
        <w:rPr>
          <w:rFonts w:ascii="Helvetica Neue" w:hAnsi="Helvetica Neue" w:cs="Arial"/>
        </w:rPr>
        <w:t>Good teaching, of course, requires proper facilities that in the life sciences must be available to support practical study in the</w:t>
      </w:r>
      <w:r w:rsidR="00232842" w:rsidRPr="00680B67">
        <w:rPr>
          <w:rFonts w:ascii="Helvetica Neue" w:hAnsi="Helvetica Neue" w:cs="Arial"/>
        </w:rPr>
        <w:t xml:space="preserve"> </w:t>
      </w:r>
      <w:r w:rsidR="003C371F" w:rsidRPr="00680B67">
        <w:rPr>
          <w:rFonts w:ascii="Helvetica Neue" w:hAnsi="Helvetica Neue" w:cs="Arial"/>
        </w:rPr>
        <w:t>laboratory, and also in the field, as appropriate to the subject. Access by students to up to date practical study and the required facilities should be integral to the TEF.</w:t>
      </w:r>
      <w:r w:rsidR="003C371F" w:rsidRPr="00680B67">
        <w:rPr>
          <w:rFonts w:ascii="Helvetica Neue" w:hAnsi="Helvetica Neue"/>
        </w:rPr>
        <w:t xml:space="preserve">  </w:t>
      </w:r>
    </w:p>
    <w:p w:rsidR="009E5887" w:rsidRPr="00680B67" w:rsidRDefault="00BF5002" w:rsidP="00680B67">
      <w:pPr>
        <w:pStyle w:val="ListParagraph"/>
        <w:numPr>
          <w:ilvl w:val="0"/>
          <w:numId w:val="18"/>
        </w:numPr>
        <w:rPr>
          <w:rFonts w:ascii="Helvetica Neue" w:hAnsi="Helvetica Neue"/>
        </w:rPr>
      </w:pPr>
      <w:r w:rsidRPr="00680B67">
        <w:rPr>
          <w:rFonts w:ascii="Helvetica Neue" w:eastAsia="Times New Roman" w:hAnsi="Helvetica Neue" w:cs="Arial"/>
        </w:rPr>
        <w:t xml:space="preserve">The </w:t>
      </w:r>
      <w:r w:rsidR="002270A0" w:rsidRPr="00680B67">
        <w:rPr>
          <w:rFonts w:ascii="Helvetica Neue" w:eastAsia="Times New Roman" w:hAnsi="Helvetica Neue" w:cs="Arial"/>
        </w:rPr>
        <w:t xml:space="preserve">continued </w:t>
      </w:r>
      <w:r w:rsidRPr="00680B67">
        <w:rPr>
          <w:rFonts w:ascii="Helvetica Neue" w:eastAsia="Times New Roman" w:hAnsi="Helvetica Neue" w:cs="Arial"/>
        </w:rPr>
        <w:t>development of  curricula,</w:t>
      </w:r>
      <w:r w:rsidR="002270A0" w:rsidRPr="00680B67">
        <w:rPr>
          <w:rFonts w:ascii="Helvetica Neue" w:eastAsia="Times New Roman" w:hAnsi="Helvetica Neue" w:cs="Arial"/>
        </w:rPr>
        <w:t xml:space="preserve"> reflecting on its impact</w:t>
      </w:r>
      <w:r w:rsidRPr="00680B67">
        <w:rPr>
          <w:rFonts w:ascii="Helvetica Neue" w:eastAsia="Times New Roman" w:hAnsi="Helvetica Neue" w:cs="Arial"/>
        </w:rPr>
        <w:t xml:space="preserve"> and considering how they will be taught and assessed is vital in ensuring an excellent teaching and learning experience for students. The TEF should work alongside degree accreditation processes</w:t>
      </w:r>
      <w:r w:rsidR="002270A0" w:rsidRPr="00680B67">
        <w:rPr>
          <w:rFonts w:ascii="Helvetica Neue" w:eastAsia="Times New Roman" w:hAnsi="Helvetica Neue" w:cs="Arial"/>
        </w:rPr>
        <w:t xml:space="preserve"> that are already in place</w:t>
      </w:r>
      <w:r w:rsidRPr="00680B67">
        <w:rPr>
          <w:rFonts w:ascii="Helvetica Neue" w:eastAsia="Times New Roman" w:hAnsi="Helvetica Neue" w:cs="Arial"/>
        </w:rPr>
        <w:t xml:space="preserve"> to ensure that programmes have solid academic foundations and prepare students’ for life after university</w:t>
      </w:r>
      <w:r w:rsidR="002270A0" w:rsidRPr="00680B67">
        <w:rPr>
          <w:rFonts w:ascii="Helvetica Neue" w:eastAsia="Times New Roman" w:hAnsi="Helvetica Neue" w:cs="Arial"/>
        </w:rPr>
        <w:t xml:space="preserve"> supporting them to develop the skills which employers value</w:t>
      </w:r>
      <w:r w:rsidRPr="00680B67">
        <w:rPr>
          <w:rFonts w:ascii="Helvetica Neue" w:eastAsia="Times New Roman" w:hAnsi="Helvetica Neue" w:cs="Arial"/>
        </w:rPr>
        <w:t xml:space="preserve">. </w:t>
      </w:r>
    </w:p>
    <w:p w:rsidR="00B5204C" w:rsidRPr="00680B67" w:rsidRDefault="009E5887" w:rsidP="00680B67">
      <w:pPr>
        <w:pStyle w:val="ListParagraph"/>
        <w:rPr>
          <w:rFonts w:ascii="Helvetica Neue" w:hAnsi="Helvetica Neue"/>
        </w:rPr>
      </w:pPr>
      <w:r w:rsidRPr="002E0AF8">
        <w:rPr>
          <w:rFonts w:ascii="Helvetica Neue" w:eastAsia="Times New Roman" w:hAnsi="Helvetica Neue" w:cs="Arial"/>
          <w:b/>
        </w:rPr>
        <w:t xml:space="preserve">How should a TEF benefit </w:t>
      </w:r>
      <w:r w:rsidRPr="003D74F5">
        <w:rPr>
          <w:rFonts w:ascii="Helvetica Neue" w:eastAsia="Times New Roman" w:hAnsi="Helvetica Neue" w:cs="Arial"/>
          <w:b/>
        </w:rPr>
        <w:t>Academics?</w:t>
      </w:r>
    </w:p>
    <w:p w:rsidR="00E067E3" w:rsidRPr="00680B67" w:rsidRDefault="00BF5002"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For teachers within higher education to be invested in the TEF they need to have ownership of it and be involved in its development. </w:t>
      </w:r>
    </w:p>
    <w:p w:rsidR="00E067E3" w:rsidRPr="00680B67" w:rsidRDefault="007638E4"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The TEF should recognise excellence in teaching and should </w:t>
      </w:r>
      <w:r w:rsidR="00A66612" w:rsidRPr="00680B67">
        <w:rPr>
          <w:rFonts w:ascii="Helvetica Neue" w:eastAsia="Times New Roman" w:hAnsi="Helvetica Neue" w:cs="Arial"/>
        </w:rPr>
        <w:t xml:space="preserve">establish </w:t>
      </w:r>
      <w:r w:rsidRPr="00680B67">
        <w:rPr>
          <w:rFonts w:ascii="Helvetica Neue" w:eastAsia="Times New Roman" w:hAnsi="Helvetica Neue" w:cs="Arial"/>
        </w:rPr>
        <w:t xml:space="preserve">that excellence in teaching is </w:t>
      </w:r>
      <w:r w:rsidR="00A66612" w:rsidRPr="00680B67">
        <w:rPr>
          <w:rFonts w:ascii="Helvetica Neue" w:eastAsia="Times New Roman" w:hAnsi="Helvetica Neue" w:cs="Arial"/>
        </w:rPr>
        <w:t xml:space="preserve">as </w:t>
      </w:r>
      <w:r w:rsidRPr="00680B67">
        <w:rPr>
          <w:rFonts w:ascii="Helvetica Neue" w:eastAsia="Times New Roman" w:hAnsi="Helvetica Neue" w:cs="Arial"/>
        </w:rPr>
        <w:t>valuable and important</w:t>
      </w:r>
      <w:r w:rsidR="00A66612" w:rsidRPr="00680B67">
        <w:rPr>
          <w:rFonts w:ascii="Helvetica Neue" w:eastAsia="Times New Roman" w:hAnsi="Helvetica Neue" w:cs="Arial"/>
        </w:rPr>
        <w:t xml:space="preserve"> </w:t>
      </w:r>
      <w:r w:rsidRPr="00680B67">
        <w:rPr>
          <w:rFonts w:ascii="Helvetica Neue" w:eastAsia="Times New Roman" w:hAnsi="Helvetica Neue" w:cs="Arial"/>
        </w:rPr>
        <w:t>as excellence in research.</w:t>
      </w:r>
      <w:r w:rsidR="00C40DE1" w:rsidRPr="00680B67">
        <w:rPr>
          <w:rFonts w:ascii="Helvetica Neue" w:eastAsia="Times New Roman" w:hAnsi="Helvetica Neue" w:cs="Arial"/>
        </w:rPr>
        <w:t xml:space="preserve"> </w:t>
      </w:r>
      <w:r w:rsidR="002270A0" w:rsidRPr="00680B67">
        <w:rPr>
          <w:rFonts w:ascii="Helvetica Neue" w:eastAsia="Times New Roman" w:hAnsi="Helvetica Neue" w:cs="Arial"/>
        </w:rPr>
        <w:t xml:space="preserve">Including metrics such as the numbers of teaching academics with teaching qualifications and recognitions such as CSciTeach would be a positive step in supporting this. </w:t>
      </w:r>
    </w:p>
    <w:p w:rsidR="00E067E3" w:rsidRPr="00680B67" w:rsidRDefault="002270A0"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 TEF</w:t>
      </w:r>
      <w:r w:rsidR="00DC6108" w:rsidRPr="00680B67">
        <w:rPr>
          <w:rFonts w:ascii="Helvetica Neue" w:eastAsia="Times New Roman" w:hAnsi="Helvetica Neue" w:cs="Arial"/>
        </w:rPr>
        <w:t xml:space="preserve"> should help to identify and share good teaching practice within disciplines</w:t>
      </w:r>
      <w:r w:rsidR="00D86EDE" w:rsidRPr="00680B67">
        <w:rPr>
          <w:rFonts w:ascii="Helvetica Neue" w:eastAsia="Times New Roman" w:hAnsi="Helvetica Neue" w:cs="Arial"/>
        </w:rPr>
        <w:t xml:space="preserve"> by building on the existing </w:t>
      </w:r>
      <w:r w:rsidR="00DC6108" w:rsidRPr="00680B67">
        <w:rPr>
          <w:rFonts w:ascii="Helvetica Neue" w:eastAsia="Times New Roman" w:hAnsi="Helvetica Neue" w:cs="Arial"/>
        </w:rPr>
        <w:t>peer review</w:t>
      </w:r>
      <w:r w:rsidR="00D86EDE" w:rsidRPr="00680B67">
        <w:rPr>
          <w:rFonts w:ascii="Helvetica Neue" w:eastAsia="Times New Roman" w:hAnsi="Helvetica Neue" w:cs="Arial"/>
        </w:rPr>
        <w:t xml:space="preserve"> process,</w:t>
      </w:r>
      <w:r w:rsidR="002E24C0" w:rsidRPr="00680B67">
        <w:rPr>
          <w:rFonts w:ascii="Helvetica Neue" w:eastAsia="Times New Roman" w:hAnsi="Helvetica Neue" w:cs="Arial"/>
        </w:rPr>
        <w:t xml:space="preserve"> both within and across institu</w:t>
      </w:r>
      <w:r w:rsidR="00D86EDE" w:rsidRPr="00680B67">
        <w:rPr>
          <w:rFonts w:ascii="Helvetica Neue" w:eastAsia="Times New Roman" w:hAnsi="Helvetica Neue" w:cs="Arial"/>
        </w:rPr>
        <w:t>tions.</w:t>
      </w:r>
      <w:r w:rsidR="00DC6108" w:rsidRPr="00680B67">
        <w:rPr>
          <w:rFonts w:ascii="Helvetica Neue" w:eastAsia="Times New Roman" w:hAnsi="Helvetica Neue" w:cs="Arial"/>
        </w:rPr>
        <w:t xml:space="preserve"> </w:t>
      </w:r>
      <w:r w:rsidR="00D86EDE" w:rsidRPr="00680B67">
        <w:rPr>
          <w:rFonts w:ascii="Helvetica Neue" w:eastAsia="Times New Roman" w:hAnsi="Helvetica Neue" w:cs="Arial"/>
        </w:rPr>
        <w:t>Th</w:t>
      </w:r>
      <w:r w:rsidR="00DB3FE0" w:rsidRPr="00680B67">
        <w:rPr>
          <w:rFonts w:ascii="Helvetica Neue" w:eastAsia="Times New Roman" w:hAnsi="Helvetica Neue" w:cs="Arial"/>
        </w:rPr>
        <w:t>is</w:t>
      </w:r>
      <w:r w:rsidR="00D86EDE" w:rsidRPr="00680B67">
        <w:rPr>
          <w:rFonts w:ascii="Helvetica Neue" w:eastAsia="Times New Roman" w:hAnsi="Helvetica Neue" w:cs="Arial"/>
        </w:rPr>
        <w:t xml:space="preserve"> would </w:t>
      </w:r>
      <w:r w:rsidR="00DC6108" w:rsidRPr="00680B67">
        <w:rPr>
          <w:rFonts w:ascii="Helvetica Neue" w:eastAsia="Times New Roman" w:hAnsi="Helvetica Neue" w:cs="Arial"/>
        </w:rPr>
        <w:t>includ</w:t>
      </w:r>
      <w:r w:rsidR="00D86EDE" w:rsidRPr="00680B67">
        <w:rPr>
          <w:rFonts w:ascii="Helvetica Neue" w:eastAsia="Times New Roman" w:hAnsi="Helvetica Neue" w:cs="Arial"/>
        </w:rPr>
        <w:t xml:space="preserve">e </w:t>
      </w:r>
      <w:r w:rsidR="00DC6108" w:rsidRPr="00680B67">
        <w:rPr>
          <w:rFonts w:ascii="Helvetica Neue" w:eastAsia="Times New Roman" w:hAnsi="Helvetica Neue" w:cs="Arial"/>
        </w:rPr>
        <w:t>innovative teaching strategies and</w:t>
      </w:r>
      <w:r w:rsidR="00D86EDE" w:rsidRPr="00680B67">
        <w:rPr>
          <w:rFonts w:ascii="Helvetica Neue" w:eastAsia="Times New Roman" w:hAnsi="Helvetica Neue" w:cs="Arial"/>
        </w:rPr>
        <w:t xml:space="preserve"> approaches, and </w:t>
      </w:r>
      <w:r w:rsidR="00DC6108" w:rsidRPr="00680B67">
        <w:rPr>
          <w:rFonts w:ascii="Helvetica Neue" w:eastAsia="Times New Roman" w:hAnsi="Helvetica Neue" w:cs="Arial"/>
        </w:rPr>
        <w:t xml:space="preserve">course content. </w:t>
      </w:r>
      <w:r w:rsidR="007638E4" w:rsidRPr="00680B67">
        <w:rPr>
          <w:rFonts w:ascii="Helvetica Neue" w:eastAsia="Times New Roman" w:hAnsi="Helvetica Neue" w:cs="Arial"/>
        </w:rPr>
        <w:t xml:space="preserve">The </w:t>
      </w:r>
      <w:r w:rsidR="00B5204C" w:rsidRPr="00680B67">
        <w:rPr>
          <w:rFonts w:ascii="Helvetica Neue" w:eastAsia="Times New Roman" w:hAnsi="Helvetica Neue" w:cs="Arial"/>
        </w:rPr>
        <w:t xml:space="preserve">framework may provide </w:t>
      </w:r>
      <w:r w:rsidR="007638E4" w:rsidRPr="00680B67">
        <w:rPr>
          <w:rFonts w:ascii="Helvetica Neue" w:eastAsia="Times New Roman" w:hAnsi="Helvetica Neue" w:cs="Arial"/>
        </w:rPr>
        <w:t xml:space="preserve">academics </w:t>
      </w:r>
      <w:r w:rsidR="00B5204C" w:rsidRPr="00680B67">
        <w:rPr>
          <w:rFonts w:ascii="Helvetica Neue" w:eastAsia="Times New Roman" w:hAnsi="Helvetica Neue" w:cs="Arial"/>
        </w:rPr>
        <w:t>with evidence that can help to facilitate career progression on a teaching pathway</w:t>
      </w:r>
      <w:r w:rsidR="007638E4" w:rsidRPr="00680B67">
        <w:rPr>
          <w:rFonts w:ascii="Helvetica Neue" w:eastAsia="Times New Roman" w:hAnsi="Helvetica Neue" w:cs="Arial"/>
        </w:rPr>
        <w:t xml:space="preserve">, </w:t>
      </w:r>
      <w:r w:rsidR="00D86EDE" w:rsidRPr="00680B67">
        <w:rPr>
          <w:rFonts w:ascii="Helvetica Neue" w:eastAsia="Times New Roman" w:hAnsi="Helvetica Neue" w:cs="Arial"/>
        </w:rPr>
        <w:t xml:space="preserve">thereby </w:t>
      </w:r>
      <w:r w:rsidR="00A66612" w:rsidRPr="00680B67">
        <w:rPr>
          <w:rFonts w:ascii="Helvetica Neue" w:eastAsia="Times New Roman" w:hAnsi="Helvetica Neue" w:cs="Arial"/>
        </w:rPr>
        <w:t xml:space="preserve">embedding and </w:t>
      </w:r>
      <w:r w:rsidR="007638E4" w:rsidRPr="00680B67">
        <w:rPr>
          <w:rFonts w:ascii="Helvetica Neue" w:eastAsia="Times New Roman" w:hAnsi="Helvetica Neue" w:cs="Arial"/>
        </w:rPr>
        <w:t>reinforcing the value of teaching within promotion criteria</w:t>
      </w:r>
      <w:r w:rsidR="00B5204C" w:rsidRPr="00680B67">
        <w:rPr>
          <w:rFonts w:ascii="Helvetica Neue" w:eastAsia="Times New Roman" w:hAnsi="Helvetica Neue" w:cs="Arial"/>
        </w:rPr>
        <w:t xml:space="preserve">. </w:t>
      </w:r>
    </w:p>
    <w:p w:rsidR="00E067E3" w:rsidRPr="00680B67" w:rsidRDefault="007638E4"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It could reward academics for research into teaching and pedagogy as well as their own subject area. </w:t>
      </w:r>
    </w:p>
    <w:p w:rsidR="00E067E3" w:rsidRPr="00680B67" w:rsidRDefault="00DC6108"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It should require that universities put in place appropriate support and training for their </w:t>
      </w:r>
      <w:r w:rsidR="00A66612" w:rsidRPr="00680B67">
        <w:rPr>
          <w:rFonts w:ascii="Helvetica Neue" w:eastAsia="Times New Roman" w:hAnsi="Helvetica Neue" w:cs="Arial"/>
        </w:rPr>
        <w:t>teaching</w:t>
      </w:r>
      <w:r w:rsidRPr="00680B67">
        <w:rPr>
          <w:rFonts w:ascii="Helvetica Neue" w:eastAsia="Times New Roman" w:hAnsi="Helvetica Neue" w:cs="Arial"/>
        </w:rPr>
        <w:t xml:space="preserve"> staff</w:t>
      </w:r>
      <w:r w:rsidR="00D86EDE" w:rsidRPr="00680B67">
        <w:rPr>
          <w:rFonts w:ascii="Helvetica Neue" w:eastAsia="Times New Roman" w:hAnsi="Helvetica Neue" w:cs="Arial"/>
        </w:rPr>
        <w:t>, and the time to engage with it</w:t>
      </w:r>
      <w:r w:rsidRPr="00680B67">
        <w:rPr>
          <w:rFonts w:ascii="Helvetica Neue" w:eastAsia="Times New Roman" w:hAnsi="Helvetica Neue" w:cs="Arial"/>
        </w:rPr>
        <w:t>.</w:t>
      </w:r>
      <w:r w:rsidR="001C2CDC" w:rsidRPr="00680B67">
        <w:rPr>
          <w:rFonts w:ascii="Helvetica Neue" w:eastAsia="Times New Roman" w:hAnsi="Helvetica Neue" w:cs="Arial"/>
        </w:rPr>
        <w:t xml:space="preserve"> The TEF could help to ensure that external figures (e.g. industrial experts) and post-doctoral researchers have access to the same professional </w:t>
      </w:r>
      <w:r w:rsidR="001C2CDC" w:rsidRPr="00680B67">
        <w:rPr>
          <w:rFonts w:ascii="Helvetica Neue" w:eastAsia="Times New Roman" w:hAnsi="Helvetica Neue" w:cs="Arial"/>
        </w:rPr>
        <w:lastRenderedPageBreak/>
        <w:t>development opportunities as university academics to support their teaching.  It could also help postgraduates and post-doctoral researchers by recognising and rewarding their teaching skills.</w:t>
      </w:r>
    </w:p>
    <w:p w:rsidR="009E5887" w:rsidRDefault="001C2CDC"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 </w:t>
      </w:r>
      <w:r w:rsidR="00DC6108" w:rsidRPr="00680B67">
        <w:rPr>
          <w:rFonts w:ascii="Helvetica Neue" w:eastAsia="Times New Roman" w:hAnsi="Helvetica Neue" w:cs="Arial"/>
        </w:rPr>
        <w:t xml:space="preserve">It could </w:t>
      </w:r>
      <w:r w:rsidR="00A66612" w:rsidRPr="00680B67">
        <w:rPr>
          <w:rFonts w:ascii="Helvetica Neue" w:eastAsia="Times New Roman" w:hAnsi="Helvetica Neue" w:cs="Arial"/>
        </w:rPr>
        <w:t>encourage</w:t>
      </w:r>
      <w:r w:rsidR="002E24C0" w:rsidRPr="00680B67">
        <w:rPr>
          <w:rFonts w:ascii="Helvetica Neue" w:eastAsia="Times New Roman" w:hAnsi="Helvetica Neue" w:cs="Arial"/>
        </w:rPr>
        <w:t xml:space="preserve"> </w:t>
      </w:r>
      <w:r w:rsidR="00DC6108" w:rsidRPr="00680B67">
        <w:rPr>
          <w:rFonts w:ascii="Helvetica Neue" w:eastAsia="Times New Roman" w:hAnsi="Helvetica Neue" w:cs="Arial"/>
        </w:rPr>
        <w:t>greater career freedom to allow transitions between research and teaching or industry and academia at various</w:t>
      </w:r>
      <w:r w:rsidR="00A66612" w:rsidRPr="00680B67">
        <w:rPr>
          <w:rFonts w:ascii="Helvetica Neue" w:eastAsia="Times New Roman" w:hAnsi="Helvetica Neue" w:cs="Arial"/>
        </w:rPr>
        <w:t xml:space="preserve"> career</w:t>
      </w:r>
      <w:r w:rsidR="002E24C0" w:rsidRPr="00680B67">
        <w:rPr>
          <w:rFonts w:ascii="Helvetica Neue" w:eastAsia="Times New Roman" w:hAnsi="Helvetica Neue" w:cs="Arial"/>
        </w:rPr>
        <w:t xml:space="preserve"> points</w:t>
      </w:r>
      <w:r w:rsidR="00A66612" w:rsidRPr="00680B67">
        <w:rPr>
          <w:rFonts w:ascii="Helvetica Neue" w:eastAsia="Times New Roman" w:hAnsi="Helvetica Neue" w:cs="Arial"/>
        </w:rPr>
        <w:t>.</w:t>
      </w:r>
      <w:r w:rsidR="001E49F0" w:rsidRPr="00680B67">
        <w:rPr>
          <w:rFonts w:ascii="Helvetica Neue" w:eastAsia="Times New Roman" w:hAnsi="Helvetica Neue" w:cs="Arial"/>
        </w:rPr>
        <w:t xml:space="preserve"> </w:t>
      </w:r>
    </w:p>
    <w:p w:rsidR="001E49F0" w:rsidRPr="00680B67" w:rsidRDefault="009E5887" w:rsidP="009E5887">
      <w:pPr>
        <w:pStyle w:val="ListParagraph"/>
        <w:rPr>
          <w:rFonts w:ascii="Helvetica Neue" w:eastAsia="Times New Roman" w:hAnsi="Helvetica Neue" w:cs="Arial"/>
        </w:rPr>
      </w:pPr>
      <w:r w:rsidRPr="002E0AF8">
        <w:rPr>
          <w:rFonts w:ascii="Helvetica Neue" w:eastAsia="Times New Roman" w:hAnsi="Helvetica Neue" w:cs="Arial"/>
          <w:b/>
        </w:rPr>
        <w:t xml:space="preserve">How should a TEF benefit </w:t>
      </w:r>
      <w:r w:rsidRPr="008B01E5">
        <w:rPr>
          <w:rFonts w:ascii="Helvetica Neue" w:eastAsia="Times New Roman" w:hAnsi="Helvetica Neue" w:cs="Arial"/>
          <w:b/>
        </w:rPr>
        <w:t>Universities?</w:t>
      </w:r>
    </w:p>
    <w:p w:rsidR="001E49F0" w:rsidRPr="00680B67" w:rsidRDefault="00CB66AA"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TEF </w:t>
      </w:r>
      <w:r w:rsidR="00D33179" w:rsidRPr="00680B67">
        <w:rPr>
          <w:rFonts w:ascii="Helvetica Neue" w:eastAsia="Times New Roman" w:hAnsi="Helvetica Neue" w:cs="Arial"/>
        </w:rPr>
        <w:t>could</w:t>
      </w:r>
      <w:r w:rsidRPr="00680B67">
        <w:rPr>
          <w:rFonts w:ascii="Helvetica Neue" w:eastAsia="Times New Roman" w:hAnsi="Helvetica Neue" w:cs="Arial"/>
        </w:rPr>
        <w:t xml:space="preserve"> provide </w:t>
      </w:r>
      <w:r w:rsidR="00EC45F0" w:rsidRPr="00680B67">
        <w:rPr>
          <w:rFonts w:ascii="Helvetica Neue" w:eastAsia="Times New Roman" w:hAnsi="Helvetica Neue" w:cs="Arial"/>
        </w:rPr>
        <w:t>universities</w:t>
      </w:r>
      <w:r w:rsidRPr="00680B67">
        <w:rPr>
          <w:rFonts w:ascii="Helvetica Neue" w:eastAsia="Times New Roman" w:hAnsi="Helvetica Neue" w:cs="Arial"/>
        </w:rPr>
        <w:t xml:space="preserve"> with metrics</w:t>
      </w:r>
      <w:r w:rsidR="00D33179" w:rsidRPr="00680B67">
        <w:rPr>
          <w:rFonts w:ascii="Helvetica Neue" w:eastAsia="Times New Roman" w:hAnsi="Helvetica Neue" w:cs="Arial"/>
        </w:rPr>
        <w:t xml:space="preserve"> and case studies</w:t>
      </w:r>
      <w:r w:rsidRPr="00680B67">
        <w:rPr>
          <w:rFonts w:ascii="Helvetica Neue" w:eastAsia="Times New Roman" w:hAnsi="Helvetica Neue" w:cs="Arial"/>
        </w:rPr>
        <w:t xml:space="preserve"> </w:t>
      </w:r>
      <w:r w:rsidR="00EC45F0" w:rsidRPr="00680B67">
        <w:rPr>
          <w:rFonts w:ascii="Helvetica Neue" w:eastAsia="Times New Roman" w:hAnsi="Helvetica Neue" w:cs="Arial"/>
        </w:rPr>
        <w:t>that</w:t>
      </w:r>
      <w:r w:rsidRPr="00680B67">
        <w:rPr>
          <w:rFonts w:ascii="Helvetica Neue" w:eastAsia="Times New Roman" w:hAnsi="Helvetica Neue" w:cs="Arial"/>
        </w:rPr>
        <w:t xml:space="preserve"> can be used to promote their institution to potential students.  It has been suggested that if institutions are able to demonstrate that they provide excellent teaching</w:t>
      </w:r>
      <w:r w:rsidR="00EC45F0" w:rsidRPr="00680B67">
        <w:rPr>
          <w:rFonts w:ascii="Helvetica Neue" w:eastAsia="Times New Roman" w:hAnsi="Helvetica Neue" w:cs="Arial"/>
        </w:rPr>
        <w:t>,</w:t>
      </w:r>
      <w:r w:rsidRPr="00680B67">
        <w:rPr>
          <w:rFonts w:ascii="Helvetica Neue" w:eastAsia="Times New Roman" w:hAnsi="Helvetica Neue" w:cs="Arial"/>
        </w:rPr>
        <w:t xml:space="preserve"> </w:t>
      </w:r>
      <w:r w:rsidR="0068023D" w:rsidRPr="00680B67">
        <w:rPr>
          <w:rFonts w:ascii="Helvetica Neue" w:eastAsia="Times New Roman" w:hAnsi="Helvetica Neue" w:cs="Arial"/>
        </w:rPr>
        <w:t>they will be able to increase</w:t>
      </w:r>
      <w:r w:rsidRPr="00680B67">
        <w:rPr>
          <w:rFonts w:ascii="Helvetica Neue" w:eastAsia="Times New Roman" w:hAnsi="Helvetica Neue" w:cs="Arial"/>
        </w:rPr>
        <w:t xml:space="preserve"> tuition fees</w:t>
      </w:r>
      <w:r w:rsidR="00176500" w:rsidRPr="00680B67">
        <w:rPr>
          <w:rFonts w:ascii="Helvetica Neue" w:eastAsia="Times New Roman" w:hAnsi="Helvetica Neue" w:cs="Arial"/>
        </w:rPr>
        <w:t>;</w:t>
      </w:r>
      <w:r w:rsidRPr="00680B67">
        <w:rPr>
          <w:rFonts w:ascii="Helvetica Neue" w:eastAsia="Times New Roman" w:hAnsi="Helvetica Neue" w:cs="Arial"/>
        </w:rPr>
        <w:t xml:space="preserve"> </w:t>
      </w:r>
      <w:r w:rsidR="00EC45F0" w:rsidRPr="00680B67">
        <w:rPr>
          <w:rFonts w:ascii="Helvetica Neue" w:eastAsia="Times New Roman" w:hAnsi="Helvetica Neue" w:cs="Arial"/>
        </w:rPr>
        <w:t xml:space="preserve">but </w:t>
      </w:r>
      <w:r w:rsidRPr="00680B67">
        <w:rPr>
          <w:rFonts w:ascii="Helvetica Neue" w:eastAsia="Times New Roman" w:hAnsi="Helvetica Neue" w:cs="Arial"/>
        </w:rPr>
        <w:t xml:space="preserve">this may have unfortunate repercussions </w:t>
      </w:r>
      <w:r w:rsidR="00DB3FE0" w:rsidRPr="00680B67">
        <w:rPr>
          <w:rFonts w:ascii="Helvetica Neue" w:eastAsia="Times New Roman" w:hAnsi="Helvetica Neue" w:cs="Arial"/>
        </w:rPr>
        <w:t>that</w:t>
      </w:r>
      <w:r w:rsidRPr="00680B67">
        <w:rPr>
          <w:rFonts w:ascii="Helvetica Neue" w:eastAsia="Times New Roman" w:hAnsi="Helvetica Neue" w:cs="Arial"/>
        </w:rPr>
        <w:t xml:space="preserve"> are discussed later. </w:t>
      </w:r>
    </w:p>
    <w:p w:rsidR="00B8258E" w:rsidRPr="00680B67" w:rsidRDefault="00B8258E"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RSB believe that the TEF should provide information at both a university </w:t>
      </w:r>
      <w:r w:rsidR="005D3419">
        <w:rPr>
          <w:rFonts w:ascii="Helvetica Neue" w:eastAsia="Times New Roman" w:hAnsi="Helvetica Neue" w:cs="Arial"/>
        </w:rPr>
        <w:t xml:space="preserve">and subject </w:t>
      </w:r>
      <w:r w:rsidRPr="00680B67">
        <w:rPr>
          <w:rFonts w:ascii="Helvetica Neue" w:eastAsia="Times New Roman" w:hAnsi="Helvetica Neue" w:cs="Arial"/>
        </w:rPr>
        <w:t>level</w:t>
      </w:r>
      <w:r w:rsidR="005D3419">
        <w:rPr>
          <w:rFonts w:ascii="Helvetica Neue" w:eastAsia="Times New Roman" w:hAnsi="Helvetica Neue" w:cs="Arial"/>
        </w:rPr>
        <w:t xml:space="preserve"> as excellent teaching in one subject may not be reflected in other subjects.  T</w:t>
      </w:r>
      <w:r w:rsidR="00905421">
        <w:rPr>
          <w:rFonts w:ascii="Helvetica Neue" w:eastAsia="Times New Roman" w:hAnsi="Helvetica Neue" w:cs="Arial"/>
        </w:rPr>
        <w:t>he former</w:t>
      </w:r>
      <w:r w:rsidR="00132C1C" w:rsidRPr="00680B67">
        <w:rPr>
          <w:rFonts w:ascii="Helvetica Neue" w:eastAsia="Times New Roman" w:hAnsi="Helvetica Neue" w:cs="Arial"/>
        </w:rPr>
        <w:t xml:space="preserve"> may cover university wide teaching policy and initiatives, overall student feedback and the general support in place teachin</w:t>
      </w:r>
      <w:r w:rsidR="00905421">
        <w:rPr>
          <w:rFonts w:ascii="Helvetica Neue" w:eastAsia="Times New Roman" w:hAnsi="Helvetica Neue" w:cs="Arial"/>
        </w:rPr>
        <w:t xml:space="preserve">g staff. The </w:t>
      </w:r>
      <w:r w:rsidR="00132C1C" w:rsidRPr="00680B67">
        <w:rPr>
          <w:rFonts w:ascii="Helvetica Neue" w:eastAsia="Times New Roman" w:hAnsi="Helvetica Neue" w:cs="Arial"/>
        </w:rPr>
        <w:t xml:space="preserve">more detailed information </w:t>
      </w:r>
      <w:r w:rsidRPr="00680B67">
        <w:rPr>
          <w:rFonts w:ascii="Helvetica Neue" w:eastAsia="Times New Roman" w:hAnsi="Helvetica Neue" w:cs="Arial"/>
        </w:rPr>
        <w:t>at a subject specific level</w:t>
      </w:r>
      <w:r w:rsidR="00132C1C" w:rsidRPr="00680B67">
        <w:rPr>
          <w:rFonts w:ascii="Helvetica Neue" w:eastAsia="Times New Roman" w:hAnsi="Helvetica Neue" w:cs="Arial"/>
        </w:rPr>
        <w:t xml:space="preserve"> </w:t>
      </w:r>
      <w:r w:rsidR="00905421">
        <w:rPr>
          <w:rFonts w:ascii="Helvetica Neue" w:eastAsia="Times New Roman" w:hAnsi="Helvetica Neue" w:cs="Arial"/>
        </w:rPr>
        <w:t>should link</w:t>
      </w:r>
      <w:r w:rsidR="00132C1C" w:rsidRPr="00680B67">
        <w:rPr>
          <w:rFonts w:ascii="Helvetica Neue" w:eastAsia="Times New Roman" w:hAnsi="Helvetica Neue" w:cs="Arial"/>
        </w:rPr>
        <w:t xml:space="preserve"> to support and resources directly related to the subject area</w:t>
      </w:r>
      <w:r w:rsidR="00E067E3" w:rsidRPr="00680B67">
        <w:rPr>
          <w:rFonts w:ascii="Helvetica Neue" w:eastAsia="Times New Roman" w:hAnsi="Helvetica Neue" w:cs="Arial"/>
        </w:rPr>
        <w:t xml:space="preserve"> for example excellent bioscience courses may have wet laboratories, computer laboratories, field sites etc to support practical aspects of learning</w:t>
      </w:r>
      <w:r w:rsidR="00132C1C" w:rsidRPr="00680B67">
        <w:rPr>
          <w:rFonts w:ascii="Helvetica Neue" w:eastAsia="Times New Roman" w:hAnsi="Helvetica Neue" w:cs="Arial"/>
        </w:rPr>
        <w:t>.</w:t>
      </w:r>
    </w:p>
    <w:p w:rsidR="0005457B" w:rsidRPr="00680B67" w:rsidRDefault="0005457B" w:rsidP="00CB66AA">
      <w:pPr>
        <w:pStyle w:val="ListParagraph"/>
        <w:numPr>
          <w:ilvl w:val="0"/>
          <w:numId w:val="19"/>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What are the institutional behaviours a TEF should drive? How can a system be designed     to avoid unintended consequences?</w:t>
      </w:r>
    </w:p>
    <w:p w:rsidR="00E067E3" w:rsidRPr="00680B67" w:rsidRDefault="001C718B"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Through TEF</w:t>
      </w:r>
      <w:r w:rsidR="00EC45F0" w:rsidRPr="00680B67">
        <w:rPr>
          <w:rFonts w:ascii="Helvetica Neue" w:eastAsia="Times New Roman" w:hAnsi="Helvetica Neue" w:cs="Arial"/>
        </w:rPr>
        <w:t>,</w:t>
      </w:r>
      <w:r w:rsidRPr="00680B67">
        <w:rPr>
          <w:rFonts w:ascii="Helvetica Neue" w:eastAsia="Times New Roman" w:hAnsi="Helvetica Neue" w:cs="Arial"/>
        </w:rPr>
        <w:t xml:space="preserve"> the status and value of teaching at higher education in</w:t>
      </w:r>
      <w:r w:rsidR="002E24C0" w:rsidRPr="00680B67">
        <w:rPr>
          <w:rFonts w:ascii="Helvetica Neue" w:eastAsia="Times New Roman" w:hAnsi="Helvetica Neue" w:cs="Arial"/>
        </w:rPr>
        <w:t>stitutions could be raised</w:t>
      </w:r>
      <w:r w:rsidR="00E067E3" w:rsidRPr="00680B67">
        <w:rPr>
          <w:rFonts w:ascii="Helvetica Neue" w:eastAsia="Times New Roman" w:hAnsi="Helvetica Neue" w:cs="Arial"/>
        </w:rPr>
        <w:t>. There may be an increase in the numbers of teaching academics with additional teaching qualifications.</w:t>
      </w:r>
      <w:r w:rsidR="002E24C0" w:rsidRPr="00680B67">
        <w:rPr>
          <w:rFonts w:ascii="Helvetica Neue" w:eastAsia="Times New Roman" w:hAnsi="Helvetica Neue" w:cs="Arial"/>
        </w:rPr>
        <w:t xml:space="preserve"> </w:t>
      </w:r>
    </w:p>
    <w:p w:rsidR="00E067E3" w:rsidRPr="00680B67" w:rsidRDefault="00E067E3"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E</w:t>
      </w:r>
      <w:r w:rsidR="001C718B" w:rsidRPr="00680B67">
        <w:rPr>
          <w:rFonts w:ascii="Helvetica Neue" w:eastAsia="Times New Roman" w:hAnsi="Helvetica Neue" w:cs="Arial"/>
        </w:rPr>
        <w:t xml:space="preserve">xcellence in teaching </w:t>
      </w:r>
      <w:r w:rsidRPr="00680B67">
        <w:rPr>
          <w:rFonts w:ascii="Helvetica Neue" w:eastAsia="Times New Roman" w:hAnsi="Helvetica Neue" w:cs="Arial"/>
        </w:rPr>
        <w:t xml:space="preserve">could be </w:t>
      </w:r>
      <w:r w:rsidR="00176500" w:rsidRPr="00680B67">
        <w:rPr>
          <w:rFonts w:ascii="Helvetica Neue" w:eastAsia="Times New Roman" w:hAnsi="Helvetica Neue" w:cs="Arial"/>
        </w:rPr>
        <w:t xml:space="preserve">more easily </w:t>
      </w:r>
      <w:r w:rsidR="001C718B" w:rsidRPr="00680B67">
        <w:rPr>
          <w:rFonts w:ascii="Helvetica Neue" w:eastAsia="Times New Roman" w:hAnsi="Helvetica Neue" w:cs="Arial"/>
        </w:rPr>
        <w:t>included as part of promotion criteria</w:t>
      </w:r>
      <w:r w:rsidRPr="00680B67">
        <w:rPr>
          <w:rFonts w:ascii="Helvetica Neue" w:eastAsia="Times New Roman" w:hAnsi="Helvetica Neue" w:cs="Arial"/>
        </w:rPr>
        <w:t>, which may result in the promotion of more teaching academics.</w:t>
      </w:r>
      <w:r w:rsidR="001C718B" w:rsidRPr="00680B67">
        <w:rPr>
          <w:rFonts w:ascii="Helvetica Neue" w:eastAsia="Times New Roman" w:hAnsi="Helvetica Neue" w:cs="Arial"/>
        </w:rPr>
        <w:t xml:space="preserve"> </w:t>
      </w:r>
    </w:p>
    <w:p w:rsidR="009D0859" w:rsidRPr="00680B67" w:rsidRDefault="001C718B"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It could encourage the sharing of good practice across departments, schools and institutions. W</w:t>
      </w:r>
      <w:r w:rsidR="002E24C0" w:rsidRPr="00680B67">
        <w:rPr>
          <w:rFonts w:ascii="Helvetica Neue" w:eastAsia="Times New Roman" w:hAnsi="Helvetica Neue" w:cs="Arial"/>
        </w:rPr>
        <w:t xml:space="preserve">e would not want </w:t>
      </w:r>
      <w:r w:rsidR="00DD49F2" w:rsidRPr="00680B67">
        <w:rPr>
          <w:rFonts w:ascii="Helvetica Neue" w:eastAsia="Times New Roman" w:hAnsi="Helvetica Neue" w:cs="Arial"/>
        </w:rPr>
        <w:t xml:space="preserve">implementation of </w:t>
      </w:r>
      <w:r w:rsidR="00176500" w:rsidRPr="00680B67">
        <w:rPr>
          <w:rFonts w:ascii="Helvetica Neue" w:eastAsia="Times New Roman" w:hAnsi="Helvetica Neue" w:cs="Arial"/>
        </w:rPr>
        <w:t>what are</w:t>
      </w:r>
      <w:r w:rsidR="002E24C0" w:rsidRPr="00680B67">
        <w:rPr>
          <w:rFonts w:ascii="Helvetica Neue" w:eastAsia="Times New Roman" w:hAnsi="Helvetica Neue" w:cs="Arial"/>
        </w:rPr>
        <w:t xml:space="preserve"> </w:t>
      </w:r>
      <w:r w:rsidR="00DD49F2" w:rsidRPr="00680B67">
        <w:rPr>
          <w:rFonts w:ascii="Helvetica Neue" w:eastAsia="Times New Roman" w:hAnsi="Helvetica Neue" w:cs="Arial"/>
        </w:rPr>
        <w:t>effectively competitive measures</w:t>
      </w:r>
      <w:r w:rsidRPr="00680B67">
        <w:rPr>
          <w:rFonts w:ascii="Helvetica Neue" w:eastAsia="Times New Roman" w:hAnsi="Helvetica Neue" w:cs="Arial"/>
        </w:rPr>
        <w:t xml:space="preserve"> in this area to</w:t>
      </w:r>
      <w:r w:rsidR="00DD49F2" w:rsidRPr="00680B67">
        <w:rPr>
          <w:rFonts w:ascii="Helvetica Neue" w:eastAsia="Times New Roman" w:hAnsi="Helvetica Neue" w:cs="Arial"/>
        </w:rPr>
        <w:t xml:space="preserve"> reduce collab</w:t>
      </w:r>
      <w:r w:rsidR="002E24C0" w:rsidRPr="00680B67">
        <w:rPr>
          <w:rFonts w:ascii="Helvetica Neue" w:eastAsia="Times New Roman" w:hAnsi="Helvetica Neue" w:cs="Arial"/>
        </w:rPr>
        <w:t xml:space="preserve">orative working. </w:t>
      </w:r>
      <w:r w:rsidR="00DD49F2" w:rsidRPr="00680B67">
        <w:rPr>
          <w:rFonts w:ascii="Helvetica Neue" w:eastAsia="Times New Roman" w:hAnsi="Helvetica Neue" w:cs="Arial"/>
        </w:rPr>
        <w:t>There is the danger that TEF could stifle creativity</w:t>
      </w:r>
      <w:r w:rsidR="002E24C0" w:rsidRPr="00680B67">
        <w:rPr>
          <w:rFonts w:ascii="Helvetica Neue" w:eastAsia="Times New Roman" w:hAnsi="Helvetica Neue" w:cs="Arial"/>
        </w:rPr>
        <w:t>,</w:t>
      </w:r>
      <w:r w:rsidR="00DD49F2" w:rsidRPr="00680B67">
        <w:rPr>
          <w:rFonts w:ascii="Helvetica Neue" w:eastAsia="Times New Roman" w:hAnsi="Helvetica Neue" w:cs="Arial"/>
        </w:rPr>
        <w:t xml:space="preserve"> </w:t>
      </w:r>
      <w:r w:rsidR="002E24C0" w:rsidRPr="00680B67">
        <w:rPr>
          <w:rFonts w:ascii="Helvetica Neue" w:eastAsia="Times New Roman" w:hAnsi="Helvetica Neue" w:cs="Arial"/>
        </w:rPr>
        <w:t>incentivising</w:t>
      </w:r>
      <w:r w:rsidR="00DD49F2" w:rsidRPr="00680B67">
        <w:rPr>
          <w:rFonts w:ascii="Helvetica Neue" w:eastAsia="Times New Roman" w:hAnsi="Helvetica Neue" w:cs="Arial"/>
        </w:rPr>
        <w:t xml:space="preserve"> teachers to use tried and tested safe options to meet criteri</w:t>
      </w:r>
      <w:r w:rsidR="002E24C0" w:rsidRPr="00680B67">
        <w:rPr>
          <w:rFonts w:ascii="Helvetica Neue" w:eastAsia="Times New Roman" w:hAnsi="Helvetica Neue" w:cs="Arial"/>
        </w:rPr>
        <w:t xml:space="preserve">a rather </w:t>
      </w:r>
      <w:r w:rsidR="00DD49F2" w:rsidRPr="00680B67">
        <w:rPr>
          <w:rFonts w:ascii="Helvetica Neue" w:eastAsia="Times New Roman" w:hAnsi="Helvetica Neue" w:cs="Arial"/>
        </w:rPr>
        <w:t>than experimenting with new teaching techniques and strategies.</w:t>
      </w:r>
      <w:r w:rsidR="009D0859" w:rsidRPr="00680B67">
        <w:rPr>
          <w:rFonts w:ascii="Helvetica Neue" w:eastAsia="Times New Roman" w:hAnsi="Helvetica Neue" w:cs="Arial"/>
        </w:rPr>
        <w:t xml:space="preserve"> TEF should be supportive of innovative practice, encouraging an appropriate level of risk-taking. </w:t>
      </w:r>
      <w:r w:rsidR="0083652D" w:rsidRPr="00680B67">
        <w:rPr>
          <w:rFonts w:ascii="Helvetica Neue" w:eastAsia="Times New Roman" w:hAnsi="Helvetica Neue" w:cs="Arial"/>
        </w:rPr>
        <w:t>There is an issue that, in trying to meet the “criteria” for the TEF, institutions could become mec</w:t>
      </w:r>
      <w:r w:rsidR="00905421">
        <w:rPr>
          <w:rFonts w:ascii="Helvetica Neue" w:eastAsia="Times New Roman" w:hAnsi="Helvetica Neue" w:cs="Arial"/>
        </w:rPr>
        <w:t>hanis</w:t>
      </w:r>
      <w:r w:rsidR="0083652D" w:rsidRPr="00680B67">
        <w:rPr>
          <w:rFonts w:ascii="Helvetica Neue" w:eastAsia="Times New Roman" w:hAnsi="Helvetica Neue" w:cs="Arial"/>
        </w:rPr>
        <w:t xml:space="preserve">tic and too focused in their approach, ignoring the generic qualities that ultimately result in improved teaching and improved student outcomes. </w:t>
      </w:r>
    </w:p>
    <w:p w:rsidR="009E5887" w:rsidRPr="009E5887" w:rsidRDefault="009D0859" w:rsidP="00680B67">
      <w:pPr>
        <w:pStyle w:val="ListParagraph"/>
        <w:numPr>
          <w:ilvl w:val="0"/>
          <w:numId w:val="18"/>
        </w:numPr>
        <w:spacing w:before="100" w:beforeAutospacing="1" w:after="100" w:afterAutospacing="1" w:line="240" w:lineRule="auto"/>
        <w:rPr>
          <w:rFonts w:ascii="Helvetica Neue" w:eastAsia="Times New Roman" w:hAnsi="Helvetica Neue" w:cs="Arial"/>
        </w:rPr>
      </w:pPr>
      <w:r w:rsidRPr="00680B67">
        <w:rPr>
          <w:rFonts w:ascii="Helvetica Neue" w:eastAsia="Times New Roman" w:hAnsi="Helvetica Neue" w:cs="Arial"/>
        </w:rPr>
        <w:t xml:space="preserve">We want the TEF to encourage cutting edge research-led teaching. </w:t>
      </w:r>
      <w:r w:rsidR="00DD49F2" w:rsidRPr="00680B67">
        <w:rPr>
          <w:rFonts w:ascii="Helvetica Neue" w:eastAsia="Times New Roman" w:hAnsi="Helvetica Neue" w:cs="Arial"/>
        </w:rPr>
        <w:t>There should be more opportunities for all</w:t>
      </w:r>
      <w:r w:rsidR="00EC45F0" w:rsidRPr="00680B67">
        <w:rPr>
          <w:rFonts w:ascii="Helvetica Neue" w:eastAsia="Times New Roman" w:hAnsi="Helvetica Neue" w:cs="Arial"/>
        </w:rPr>
        <w:t>-</w:t>
      </w:r>
      <w:r w:rsidR="00DD49F2" w:rsidRPr="00680B67">
        <w:rPr>
          <w:rFonts w:ascii="Helvetica Neue" w:eastAsia="Times New Roman" w:hAnsi="Helvetica Neue" w:cs="Arial"/>
        </w:rPr>
        <w:t xml:space="preserve">round </w:t>
      </w:r>
      <w:r w:rsidR="005E56D1" w:rsidRPr="00680B67">
        <w:rPr>
          <w:rFonts w:ascii="Helvetica Neue" w:eastAsia="Times New Roman" w:hAnsi="Helvetica Neue" w:cs="Arial"/>
        </w:rPr>
        <w:t xml:space="preserve">research and </w:t>
      </w:r>
      <w:r w:rsidR="00DD49F2" w:rsidRPr="00680B67">
        <w:rPr>
          <w:rFonts w:ascii="Helvetica Neue" w:eastAsia="Times New Roman" w:hAnsi="Helvetica Neue" w:cs="Arial"/>
        </w:rPr>
        <w:t xml:space="preserve">scholarship, with </w:t>
      </w:r>
      <w:r w:rsidR="002E24C0" w:rsidRPr="00680B67">
        <w:rPr>
          <w:rFonts w:ascii="Helvetica Neue" w:eastAsia="Times New Roman" w:hAnsi="Helvetica Neue" w:cs="Arial"/>
        </w:rPr>
        <w:t xml:space="preserve">expertise in both </w:t>
      </w:r>
      <w:r w:rsidR="00DD49F2" w:rsidRPr="00680B67">
        <w:rPr>
          <w:rFonts w:ascii="Helvetica Neue" w:eastAsia="Times New Roman" w:hAnsi="Helvetica Neue" w:cs="Arial"/>
        </w:rPr>
        <w:t>teaching</w:t>
      </w:r>
      <w:r w:rsidR="004132EF" w:rsidRPr="00680B67">
        <w:rPr>
          <w:rFonts w:ascii="Helvetica Neue" w:eastAsia="Times New Roman" w:hAnsi="Helvetica Neue" w:cs="Arial"/>
        </w:rPr>
        <w:t xml:space="preserve"> pedagogy</w:t>
      </w:r>
      <w:r w:rsidR="00DD49F2" w:rsidRPr="00680B67">
        <w:rPr>
          <w:rFonts w:ascii="Helvetica Neue" w:eastAsia="Times New Roman" w:hAnsi="Helvetica Neue" w:cs="Arial"/>
        </w:rPr>
        <w:t xml:space="preserve"> and </w:t>
      </w:r>
      <w:r w:rsidR="004132EF" w:rsidRPr="00680B67">
        <w:rPr>
          <w:rFonts w:ascii="Helvetica Neue" w:eastAsia="Times New Roman" w:hAnsi="Helvetica Neue" w:cs="Arial"/>
        </w:rPr>
        <w:t xml:space="preserve">subject specific </w:t>
      </w:r>
      <w:r w:rsidR="00DD49F2" w:rsidRPr="00680B67">
        <w:rPr>
          <w:rFonts w:ascii="Helvetica Neue" w:eastAsia="Times New Roman" w:hAnsi="Helvetica Neue" w:cs="Arial"/>
        </w:rPr>
        <w:t>research rather than forcing staff to specialise</w:t>
      </w:r>
      <w:r w:rsidR="0083652D" w:rsidRPr="00680B67">
        <w:rPr>
          <w:rFonts w:ascii="Helvetica Neue" w:eastAsia="Times New Roman" w:hAnsi="Helvetica Neue" w:cs="Arial"/>
        </w:rPr>
        <w:t>.</w:t>
      </w:r>
      <w:r w:rsidRPr="00680B67">
        <w:rPr>
          <w:rFonts w:ascii="Helvetica Neue" w:eastAsia="Times New Roman" w:hAnsi="Helvetica Neue" w:cs="Arial"/>
        </w:rPr>
        <w:t xml:space="preserve"> </w:t>
      </w:r>
      <w:r w:rsidR="000B257C" w:rsidRPr="00680B67">
        <w:rPr>
          <w:rFonts w:ascii="Helvetica Neue" w:eastAsia="Times New Roman" w:hAnsi="Helvetica Neue" w:cs="Arial"/>
        </w:rPr>
        <w:t xml:space="preserve">For universities that are not conducting research within a subject area, the TEF may encourage collaboration across institutions to support </w:t>
      </w:r>
      <w:r w:rsidR="004132EF" w:rsidRPr="00680B67">
        <w:rPr>
          <w:rFonts w:ascii="Helvetica Neue" w:eastAsia="Times New Roman" w:hAnsi="Helvetica Neue" w:cs="Arial"/>
        </w:rPr>
        <w:t xml:space="preserve">research-led teaching. Equally for research intensive institutions collaborations with institutions which are conducting pedagogic research would be beneficial. </w:t>
      </w:r>
      <w:r w:rsidR="009E5887">
        <w:rPr>
          <w:rFonts w:ascii="Helvetica Neue" w:eastAsia="Times New Roman" w:hAnsi="Helvetica Neue" w:cs="Arial"/>
        </w:rPr>
        <w:tab/>
      </w:r>
      <w:r w:rsidR="009E5887">
        <w:rPr>
          <w:rFonts w:ascii="Helvetica Neue" w:eastAsia="Times New Roman" w:hAnsi="Helvetica Neue" w:cs="Arial"/>
        </w:rPr>
        <w:tab/>
      </w:r>
      <w:r w:rsidR="009E5887">
        <w:rPr>
          <w:rFonts w:ascii="Helvetica Neue" w:eastAsia="Times New Roman" w:hAnsi="Helvetica Neue" w:cs="Arial"/>
        </w:rPr>
        <w:tab/>
      </w:r>
      <w:r w:rsidR="009E5887">
        <w:rPr>
          <w:rFonts w:ascii="Helvetica Neue" w:eastAsia="Times New Roman" w:hAnsi="Helvetica Neue" w:cs="Arial"/>
        </w:rPr>
        <w:tab/>
      </w:r>
      <w:r w:rsidR="009E5887">
        <w:rPr>
          <w:rFonts w:ascii="Helvetica Neue" w:eastAsia="Times New Roman" w:hAnsi="Helvetica Neue" w:cs="Arial"/>
        </w:rPr>
        <w:tab/>
      </w:r>
      <w:r w:rsidR="009E5887">
        <w:rPr>
          <w:rFonts w:ascii="Helvetica Neue" w:eastAsia="Times New Roman" w:hAnsi="Helvetica Neue" w:cs="Arial"/>
        </w:rPr>
        <w:tab/>
      </w:r>
      <w:r w:rsidR="009E5887">
        <w:rPr>
          <w:rFonts w:ascii="Helvetica Neue" w:eastAsia="Times New Roman" w:hAnsi="Helvetica Neue" w:cs="Arial"/>
        </w:rPr>
        <w:tab/>
      </w:r>
    </w:p>
    <w:p w:rsidR="009E5887" w:rsidRPr="009E5887" w:rsidRDefault="002E24C0" w:rsidP="00680B67">
      <w:pPr>
        <w:pStyle w:val="ListParagraph"/>
        <w:numPr>
          <w:ilvl w:val="0"/>
          <w:numId w:val="18"/>
        </w:numPr>
        <w:spacing w:before="100" w:beforeAutospacing="1" w:after="100" w:afterAutospacing="1" w:line="240" w:lineRule="auto"/>
        <w:rPr>
          <w:rFonts w:ascii="Helvetica Neue" w:eastAsia="Times New Roman" w:hAnsi="Helvetica Neue" w:cs="Arial"/>
        </w:rPr>
      </w:pPr>
      <w:r w:rsidRPr="00680B67">
        <w:rPr>
          <w:rFonts w:ascii="Helvetica Neue" w:eastAsia="Times New Roman" w:hAnsi="Helvetica Neue" w:cs="Arial"/>
        </w:rPr>
        <w:t xml:space="preserve">Accreditation of </w:t>
      </w:r>
      <w:r w:rsidR="00FC3A37" w:rsidRPr="00680B67">
        <w:rPr>
          <w:rFonts w:ascii="Helvetica Neue" w:eastAsia="Times New Roman" w:hAnsi="Helvetica Neue" w:cs="Arial"/>
        </w:rPr>
        <w:t>degree programmes</w:t>
      </w:r>
      <w:r w:rsidR="0083652D" w:rsidRPr="00680B67">
        <w:rPr>
          <w:rFonts w:ascii="Helvetica Neue" w:eastAsia="Times New Roman" w:hAnsi="Helvetica Neue" w:cs="Arial"/>
        </w:rPr>
        <w:t>,</w:t>
      </w:r>
      <w:r w:rsidR="00FC3A37" w:rsidRPr="00680B67">
        <w:rPr>
          <w:rFonts w:ascii="Helvetica Neue" w:eastAsia="Times New Roman" w:hAnsi="Helvetica Neue" w:cs="Arial"/>
        </w:rPr>
        <w:t xml:space="preserve"> through learned societies </w:t>
      </w:r>
      <w:r w:rsidR="00125E39" w:rsidRPr="00680B67">
        <w:rPr>
          <w:rFonts w:ascii="Helvetica Neue" w:eastAsia="Times New Roman" w:hAnsi="Helvetica Neue" w:cs="Arial"/>
        </w:rPr>
        <w:t xml:space="preserve">and by professional bodies </w:t>
      </w:r>
      <w:r w:rsidR="00FC3A37" w:rsidRPr="00680B67">
        <w:rPr>
          <w:rFonts w:ascii="Helvetica Neue" w:eastAsia="Times New Roman" w:hAnsi="Helvetica Neue" w:cs="Arial"/>
        </w:rPr>
        <w:t>recognise features of excellent teaching</w:t>
      </w:r>
      <w:r w:rsidR="009D0859" w:rsidRPr="00680B67">
        <w:rPr>
          <w:rFonts w:ascii="Helvetica Neue" w:eastAsia="Times New Roman" w:hAnsi="Helvetica Neue" w:cs="Arial"/>
        </w:rPr>
        <w:t xml:space="preserve"> and will complement the work of the TEF</w:t>
      </w:r>
      <w:r w:rsidR="00FC3A37" w:rsidRPr="00680B67">
        <w:rPr>
          <w:rFonts w:ascii="Helvetica Neue" w:eastAsia="Times New Roman" w:hAnsi="Helvetica Neue" w:cs="Arial"/>
        </w:rPr>
        <w:t xml:space="preserve">. </w:t>
      </w:r>
      <w:r w:rsidR="00062C5B" w:rsidRPr="00680B67">
        <w:rPr>
          <w:rFonts w:ascii="Helvetica Neue" w:eastAsia="Times New Roman" w:hAnsi="Helvetica Neue" w:cs="Arial"/>
        </w:rPr>
        <w:t>The RSB Degree Accreditation and Advanced Accreditation schemes rigorously and independently assess programmes to ensure that programmes have a solid academic foundation in biological knowledge</w:t>
      </w:r>
      <w:r w:rsidR="006A2096">
        <w:rPr>
          <w:rFonts w:ascii="Helvetica Neue" w:eastAsia="Times New Roman" w:hAnsi="Helvetica Neue" w:cs="Arial"/>
        </w:rPr>
        <w:t xml:space="preserve"> </w:t>
      </w:r>
      <w:r w:rsidR="00062C5B" w:rsidRPr="00680B67">
        <w:rPr>
          <w:rFonts w:ascii="Helvetica Neue" w:eastAsia="Times New Roman" w:hAnsi="Helvetica Neue" w:cs="Arial"/>
        </w:rPr>
        <w:lastRenderedPageBreak/>
        <w:t>and skills</w:t>
      </w:r>
      <w:r w:rsidR="006A2096">
        <w:rPr>
          <w:rFonts w:ascii="Helvetica Neue" w:eastAsia="Times New Roman" w:hAnsi="Helvetica Neue" w:cs="Arial"/>
        </w:rPr>
        <w:t xml:space="preserve"> and</w:t>
      </w:r>
      <w:r w:rsidR="00062C5B" w:rsidRPr="00680B67">
        <w:rPr>
          <w:rFonts w:ascii="Helvetica Neue" w:eastAsia="Times New Roman" w:hAnsi="Helvetica Neue" w:cs="Arial"/>
        </w:rPr>
        <w:t xml:space="preserve"> prepares the graduates for the needs of the employers. The TEF may want to take into account the numbers of courses at an institution which have been accredited. </w:t>
      </w:r>
    </w:p>
    <w:p w:rsidR="00106339" w:rsidRPr="00680B67" w:rsidRDefault="0005457B" w:rsidP="00680B67">
      <w:pPr>
        <w:pStyle w:val="ListParagraph"/>
        <w:numPr>
          <w:ilvl w:val="0"/>
          <w:numId w:val="24"/>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How should the effectiveness of the TEF be judged?</w:t>
      </w:r>
    </w:p>
    <w:p w:rsidR="00C8634C" w:rsidRPr="00680B67" w:rsidRDefault="00052105"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If the TEF has a positive effect the s</w:t>
      </w:r>
      <w:r w:rsidR="00EE0F48" w:rsidRPr="00680B67">
        <w:rPr>
          <w:rFonts w:ascii="Helvetica Neue" w:eastAsia="Times New Roman" w:hAnsi="Helvetica Neue" w:cs="Arial"/>
        </w:rPr>
        <w:t xml:space="preserve">tudent satisfaction scores </w:t>
      </w:r>
      <w:r w:rsidRPr="00680B67">
        <w:rPr>
          <w:rFonts w:ascii="Helvetica Neue" w:eastAsia="Times New Roman" w:hAnsi="Helvetica Neue" w:cs="Arial"/>
        </w:rPr>
        <w:t>may</w:t>
      </w:r>
      <w:r w:rsidR="00EE0F48" w:rsidRPr="00680B67">
        <w:rPr>
          <w:rFonts w:ascii="Helvetica Neue" w:eastAsia="Times New Roman" w:hAnsi="Helvetica Neue" w:cs="Arial"/>
        </w:rPr>
        <w:t xml:space="preserve"> in part </w:t>
      </w:r>
      <w:r w:rsidRPr="00680B67">
        <w:rPr>
          <w:rFonts w:ascii="Helvetica Neue" w:eastAsia="Times New Roman" w:hAnsi="Helvetica Neue" w:cs="Arial"/>
        </w:rPr>
        <w:t>reflect this</w:t>
      </w:r>
      <w:r w:rsidR="00322E03" w:rsidRPr="00680B67">
        <w:rPr>
          <w:rFonts w:ascii="Helvetica Neue" w:eastAsia="Times New Roman" w:hAnsi="Helvetica Neue" w:cs="Arial"/>
        </w:rPr>
        <w:t>:</w:t>
      </w:r>
      <w:r w:rsidR="00232842" w:rsidRPr="00680B67">
        <w:rPr>
          <w:rFonts w:ascii="Helvetica Neue" w:eastAsia="Times New Roman" w:hAnsi="Helvetica Neue" w:cs="Arial"/>
        </w:rPr>
        <w:t xml:space="preserve"> </w:t>
      </w:r>
      <w:r w:rsidRPr="00680B67">
        <w:rPr>
          <w:rFonts w:ascii="Helvetica Neue" w:eastAsia="Times New Roman" w:hAnsi="Helvetica Neue" w:cs="Arial"/>
        </w:rPr>
        <w:t xml:space="preserve">for example </w:t>
      </w:r>
      <w:r w:rsidR="00EE0F48" w:rsidRPr="00680B67">
        <w:rPr>
          <w:rFonts w:ascii="Helvetica Neue" w:eastAsia="Times New Roman" w:hAnsi="Helvetica Neue" w:cs="Arial"/>
        </w:rPr>
        <w:t xml:space="preserve">drop out levels may reduce. </w:t>
      </w:r>
      <w:r w:rsidR="00905421">
        <w:rPr>
          <w:rFonts w:ascii="Helvetica Neue" w:eastAsia="Times New Roman" w:hAnsi="Helvetica Neue" w:cs="Arial"/>
        </w:rPr>
        <w:t>But care is needed with this (see below).</w:t>
      </w:r>
    </w:p>
    <w:p w:rsidR="00C8634C" w:rsidRPr="00680B67" w:rsidRDefault="00EE0F48"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If students begin requesting data regarding the standard of teaching</w:t>
      </w:r>
      <w:r w:rsidR="00052105" w:rsidRPr="00680B67">
        <w:rPr>
          <w:rFonts w:ascii="Helvetica Neue" w:eastAsia="Times New Roman" w:hAnsi="Helvetica Neue" w:cs="Arial"/>
        </w:rPr>
        <w:t xml:space="preserve"> (as measured by the TEF)</w:t>
      </w:r>
      <w:r w:rsidR="00367C63" w:rsidRPr="00680B67">
        <w:rPr>
          <w:rFonts w:ascii="Helvetica Neue" w:eastAsia="Times New Roman" w:hAnsi="Helvetica Neue" w:cs="Arial"/>
        </w:rPr>
        <w:t xml:space="preserve">, this </w:t>
      </w:r>
      <w:r w:rsidR="00C5127A" w:rsidRPr="00680B67">
        <w:rPr>
          <w:rFonts w:ascii="Helvetica Neue" w:eastAsia="Times New Roman" w:hAnsi="Helvetica Neue" w:cs="Arial"/>
        </w:rPr>
        <w:t xml:space="preserve">could imply that the </w:t>
      </w:r>
      <w:r w:rsidR="00367C63" w:rsidRPr="00680B67">
        <w:rPr>
          <w:rFonts w:ascii="Helvetica Neue" w:eastAsia="Times New Roman" w:hAnsi="Helvetica Neue" w:cs="Arial"/>
        </w:rPr>
        <w:t xml:space="preserve">TEF results </w:t>
      </w:r>
      <w:r w:rsidR="00052105" w:rsidRPr="00680B67">
        <w:rPr>
          <w:rFonts w:ascii="Helvetica Neue" w:eastAsia="Times New Roman" w:hAnsi="Helvetica Neue" w:cs="Arial"/>
        </w:rPr>
        <w:t xml:space="preserve">are regarded as </w:t>
      </w:r>
      <w:r w:rsidR="00367C63" w:rsidRPr="00680B67">
        <w:rPr>
          <w:rFonts w:ascii="Helvetica Neue" w:eastAsia="Times New Roman" w:hAnsi="Helvetica Neue" w:cs="Arial"/>
        </w:rPr>
        <w:t>valu</w:t>
      </w:r>
      <w:r w:rsidR="00052105" w:rsidRPr="00680B67">
        <w:rPr>
          <w:rFonts w:ascii="Helvetica Neue" w:eastAsia="Times New Roman" w:hAnsi="Helvetica Neue" w:cs="Arial"/>
        </w:rPr>
        <w:t>able information</w:t>
      </w:r>
      <w:r w:rsidR="00367C63" w:rsidRPr="00680B67">
        <w:rPr>
          <w:rFonts w:ascii="Helvetica Neue" w:eastAsia="Times New Roman" w:hAnsi="Helvetica Neue" w:cs="Arial"/>
        </w:rPr>
        <w:t xml:space="preserve">. </w:t>
      </w:r>
      <w:r w:rsidR="00C5127A" w:rsidRPr="00680B67">
        <w:rPr>
          <w:rFonts w:ascii="Helvetica Neue" w:eastAsia="Times New Roman" w:hAnsi="Helvetica Neue" w:cs="Arial"/>
        </w:rPr>
        <w:t>Ultimately one could predict</w:t>
      </w:r>
      <w:r w:rsidRPr="00680B67">
        <w:rPr>
          <w:rFonts w:ascii="Helvetica Neue" w:eastAsia="Times New Roman" w:hAnsi="Helvetica Neue" w:cs="Arial"/>
        </w:rPr>
        <w:t xml:space="preserve"> </w:t>
      </w:r>
      <w:r w:rsidR="00052105" w:rsidRPr="00680B67">
        <w:rPr>
          <w:rFonts w:ascii="Helvetica Neue" w:eastAsia="Times New Roman" w:hAnsi="Helvetica Neue" w:cs="Arial"/>
        </w:rPr>
        <w:t xml:space="preserve">that </w:t>
      </w:r>
      <w:r w:rsidRPr="00680B67">
        <w:rPr>
          <w:rFonts w:ascii="Helvetica Neue" w:eastAsia="Times New Roman" w:hAnsi="Helvetica Neue" w:cs="Arial"/>
        </w:rPr>
        <w:t xml:space="preserve">institutions </w:t>
      </w:r>
      <w:r w:rsidR="00367C63" w:rsidRPr="00680B67">
        <w:rPr>
          <w:rFonts w:ascii="Helvetica Neue" w:eastAsia="Times New Roman" w:hAnsi="Helvetica Neue" w:cs="Arial"/>
        </w:rPr>
        <w:t>or</w:t>
      </w:r>
      <w:r w:rsidRPr="00680B67">
        <w:rPr>
          <w:rFonts w:ascii="Helvetica Neue" w:eastAsia="Times New Roman" w:hAnsi="Helvetica Neue" w:cs="Arial"/>
        </w:rPr>
        <w:t xml:space="preserve"> programmes that are recognised as providing excellent teaching </w:t>
      </w:r>
      <w:r w:rsidR="00322E03" w:rsidRPr="00680B67">
        <w:rPr>
          <w:rFonts w:ascii="Helvetica Neue" w:eastAsia="Times New Roman" w:hAnsi="Helvetica Neue" w:cs="Arial"/>
        </w:rPr>
        <w:t>would r</w:t>
      </w:r>
      <w:r w:rsidR="00367C63" w:rsidRPr="00680B67">
        <w:rPr>
          <w:rFonts w:ascii="Helvetica Neue" w:eastAsia="Times New Roman" w:hAnsi="Helvetica Neue" w:cs="Arial"/>
        </w:rPr>
        <w:t>eceiv</w:t>
      </w:r>
      <w:r w:rsidR="00052105" w:rsidRPr="00680B67">
        <w:rPr>
          <w:rFonts w:ascii="Helvetica Neue" w:eastAsia="Times New Roman" w:hAnsi="Helvetica Neue" w:cs="Arial"/>
        </w:rPr>
        <w:t>e</w:t>
      </w:r>
      <w:r w:rsidR="00905421">
        <w:rPr>
          <w:rFonts w:ascii="Helvetica Neue" w:eastAsia="Times New Roman" w:hAnsi="Helvetica Neue" w:cs="Arial"/>
        </w:rPr>
        <w:t xml:space="preserve"> higher applicant numbers and/or see the rate of applications grow at a greater rate compared to other HEIs who perform less well.</w:t>
      </w:r>
    </w:p>
    <w:p w:rsidR="00EE0F48" w:rsidRPr="00680B67" w:rsidRDefault="00062C5B"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It may be possible to establish whether employers perceive an improvement in graduate quality and correlate this with improvements in teaching.</w:t>
      </w:r>
    </w:p>
    <w:p w:rsidR="00EE0F48" w:rsidRPr="00680B67" w:rsidRDefault="00EE0F48"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If TEF is successful </w:t>
      </w:r>
      <w:r w:rsidR="00052105" w:rsidRPr="00680B67">
        <w:rPr>
          <w:rFonts w:ascii="Helvetica Neue" w:eastAsia="Times New Roman" w:hAnsi="Helvetica Neue" w:cs="Arial"/>
        </w:rPr>
        <w:t xml:space="preserve">or </w:t>
      </w:r>
      <w:r w:rsidRPr="00680B67">
        <w:rPr>
          <w:rFonts w:ascii="Helvetica Neue" w:eastAsia="Times New Roman" w:hAnsi="Helvetica Neue" w:cs="Arial"/>
        </w:rPr>
        <w:t xml:space="preserve">effective we may </w:t>
      </w:r>
      <w:r w:rsidR="00367C63" w:rsidRPr="00680B67">
        <w:rPr>
          <w:rFonts w:ascii="Helvetica Neue" w:eastAsia="Times New Roman" w:hAnsi="Helvetica Neue" w:cs="Arial"/>
        </w:rPr>
        <w:t xml:space="preserve">also </w:t>
      </w:r>
      <w:r w:rsidRPr="00680B67">
        <w:rPr>
          <w:rFonts w:ascii="Helvetica Neue" w:eastAsia="Times New Roman" w:hAnsi="Helvetica Neue" w:cs="Arial"/>
        </w:rPr>
        <w:t>begin to see the status of teaching in higher education institutions rise. This may in part be</w:t>
      </w:r>
      <w:r w:rsidR="00052105" w:rsidRPr="00680B67">
        <w:rPr>
          <w:rFonts w:ascii="Helvetica Neue" w:eastAsia="Times New Roman" w:hAnsi="Helvetica Neue" w:cs="Arial"/>
        </w:rPr>
        <w:t xml:space="preserve"> reflected</w:t>
      </w:r>
      <w:r w:rsidRPr="00680B67">
        <w:rPr>
          <w:rFonts w:ascii="Helvetica Neue" w:eastAsia="Times New Roman" w:hAnsi="Helvetica Neue" w:cs="Arial"/>
        </w:rPr>
        <w:t xml:space="preserve"> through the numbers of academics</w:t>
      </w:r>
      <w:r w:rsidR="00367C63" w:rsidRPr="00680B67">
        <w:rPr>
          <w:rFonts w:ascii="Helvetica Neue" w:eastAsia="Times New Roman" w:hAnsi="Helvetica Neue" w:cs="Arial"/>
        </w:rPr>
        <w:tab/>
      </w:r>
      <w:r w:rsidRPr="00680B67">
        <w:rPr>
          <w:rFonts w:ascii="Helvetica Neue" w:eastAsia="Times New Roman" w:hAnsi="Helvetica Neue" w:cs="Arial"/>
        </w:rPr>
        <w:t>promoted on the basis of their teaching.</w:t>
      </w:r>
      <w:r w:rsidR="00C40DE1" w:rsidRPr="00680B67">
        <w:rPr>
          <w:rFonts w:ascii="Helvetica Neue" w:eastAsia="Times New Roman" w:hAnsi="Helvetica Neue" w:cs="Arial"/>
        </w:rPr>
        <w:t xml:space="preserve"> </w:t>
      </w:r>
      <w:r w:rsidR="002270A0" w:rsidRPr="00680B67">
        <w:rPr>
          <w:rFonts w:ascii="Helvetica Neue" w:eastAsia="Times New Roman" w:hAnsi="Helvetica Neue" w:cs="Arial"/>
        </w:rPr>
        <w:t xml:space="preserve">It may also be reflected in the numbers of teaching academics holding teaching qualifications. </w:t>
      </w:r>
      <w:r w:rsidR="00C40DE1" w:rsidRPr="00680B67">
        <w:rPr>
          <w:rFonts w:ascii="Helvetica Neue" w:eastAsia="Times New Roman" w:hAnsi="Helvetica Neue" w:cs="Arial"/>
        </w:rPr>
        <w:t xml:space="preserve">The RSB supports a competency based approach for recognising teaching excellence through the Chartered Science Teacher Register.    </w:t>
      </w:r>
    </w:p>
    <w:p w:rsidR="0005457B" w:rsidRPr="00680B67" w:rsidRDefault="0005457B" w:rsidP="00680B67">
      <w:pPr>
        <w:pStyle w:val="ListParagraph"/>
        <w:numPr>
          <w:ilvl w:val="0"/>
          <w:numId w:val="24"/>
        </w:numPr>
        <w:rPr>
          <w:rFonts w:ascii="Helvetica Neue" w:eastAsia="Times New Roman" w:hAnsi="Helvetica Neue" w:cs="Arial"/>
          <w:b/>
        </w:rPr>
      </w:pPr>
      <w:r w:rsidRPr="00680B67">
        <w:rPr>
          <w:rFonts w:ascii="Helvetica Neue" w:eastAsia="Times New Roman" w:hAnsi="Helvetica Neue" w:cs="Arial"/>
          <w:b/>
        </w:rPr>
        <w:t>How should the proposed Teaching Excellence Framework and new quality assurance regime fit together? </w:t>
      </w:r>
    </w:p>
    <w:p w:rsidR="00367C63" w:rsidRPr="00680B67" w:rsidRDefault="00367C63"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The</w:t>
      </w:r>
      <w:r w:rsidR="0021414E" w:rsidRPr="00680B67">
        <w:rPr>
          <w:rFonts w:ascii="Helvetica Neue" w:eastAsia="Times New Roman" w:hAnsi="Helvetica Neue" w:cs="Arial"/>
        </w:rPr>
        <w:t xml:space="preserve"> schemes</w:t>
      </w:r>
      <w:r w:rsidRPr="00680B67">
        <w:rPr>
          <w:rFonts w:ascii="Helvetica Neue" w:eastAsia="Times New Roman" w:hAnsi="Helvetica Neue" w:cs="Arial"/>
        </w:rPr>
        <w:t xml:space="preserve"> will need to complement each other to minimise any unnecessary administrative burden and costs to the institutions.</w:t>
      </w:r>
    </w:p>
    <w:p w:rsidR="00367C63" w:rsidRPr="00680B67" w:rsidRDefault="00367C63"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We need to ensure that they do not produce contradictory outputs </w:t>
      </w:r>
      <w:r w:rsidR="00EC45F0" w:rsidRPr="00680B67">
        <w:rPr>
          <w:rFonts w:ascii="Helvetica Neue" w:eastAsia="Times New Roman" w:hAnsi="Helvetica Neue" w:cs="Arial"/>
        </w:rPr>
        <w:t>that</w:t>
      </w:r>
      <w:r w:rsidRPr="00680B67">
        <w:rPr>
          <w:rFonts w:ascii="Helvetica Neue" w:eastAsia="Times New Roman" w:hAnsi="Helvetica Neue" w:cs="Arial"/>
        </w:rPr>
        <w:t xml:space="preserve"> will confuse students when deciding upon where they should study. </w:t>
      </w:r>
    </w:p>
    <w:p w:rsidR="00106339" w:rsidRPr="00680B67" w:rsidRDefault="0005457B" w:rsidP="00680B67">
      <w:pPr>
        <w:pStyle w:val="ListParagraph"/>
        <w:numPr>
          <w:ilvl w:val="0"/>
          <w:numId w:val="24"/>
        </w:numPr>
        <w:rPr>
          <w:rFonts w:ascii="Helvetica Neue" w:eastAsia="Times New Roman" w:hAnsi="Helvetica Neue" w:cs="Arial"/>
          <w:b/>
        </w:rPr>
      </w:pPr>
      <w:r w:rsidRPr="00680B67">
        <w:rPr>
          <w:rFonts w:ascii="Helvetica Neue" w:eastAsia="Times New Roman" w:hAnsi="Helvetica Neue" w:cs="Arial"/>
          <w:b/>
        </w:rPr>
        <w:t>What do you think will be the main challenges in implementing a Teaching Excellence Framework?</w:t>
      </w:r>
    </w:p>
    <w:p w:rsidR="00A25959" w:rsidRPr="00680B67" w:rsidRDefault="000E487A" w:rsidP="00680B67">
      <w:pPr>
        <w:pStyle w:val="ListParagraph"/>
        <w:numPr>
          <w:ilvl w:val="0"/>
          <w:numId w:val="18"/>
        </w:numPr>
        <w:rPr>
          <w:rFonts w:ascii="Helvetica Neue" w:hAnsi="Helvetica Neue"/>
          <w:color w:val="1F497D"/>
        </w:rPr>
      </w:pPr>
      <w:r w:rsidRPr="00680B67">
        <w:rPr>
          <w:rFonts w:ascii="Helvetica Neue" w:eastAsia="Times New Roman" w:hAnsi="Helvetica Neue" w:cs="Arial"/>
        </w:rPr>
        <w:t xml:space="preserve">A large challenge will be </w:t>
      </w:r>
      <w:r w:rsidR="00A25959" w:rsidRPr="00680B67">
        <w:rPr>
          <w:rFonts w:ascii="Helvetica Neue" w:eastAsia="Times New Roman" w:hAnsi="Helvetica Neue" w:cs="Arial"/>
        </w:rPr>
        <w:t>establishing the data and metrics that will be used to evidence teaching excellence. The question ultimately remains</w:t>
      </w:r>
      <w:r w:rsidR="0080290B" w:rsidRPr="00680B67">
        <w:rPr>
          <w:rFonts w:ascii="Helvetica Neue" w:eastAsia="Times New Roman" w:hAnsi="Helvetica Neue" w:cs="Arial"/>
        </w:rPr>
        <w:t>:</w:t>
      </w:r>
      <w:r w:rsidR="00A25959" w:rsidRPr="00680B67">
        <w:rPr>
          <w:rFonts w:ascii="Helvetica Neue" w:eastAsia="Times New Roman" w:hAnsi="Helvetica Neue" w:cs="Arial"/>
        </w:rPr>
        <w:t xml:space="preserve"> how can excellence in teaching be measured?</w:t>
      </w:r>
      <w:r w:rsidRPr="00680B67">
        <w:rPr>
          <w:rFonts w:ascii="Helvetica Neue" w:eastAsia="Times New Roman" w:hAnsi="Helvetica Neue" w:cs="Arial"/>
        </w:rPr>
        <w:t xml:space="preserve"> </w:t>
      </w:r>
    </w:p>
    <w:p w:rsidR="006A2096" w:rsidRDefault="00EC45F0"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Although</w:t>
      </w:r>
      <w:r w:rsidR="00A25959" w:rsidRPr="00680B67">
        <w:rPr>
          <w:rFonts w:ascii="Helvetica Neue" w:eastAsia="Times New Roman" w:hAnsi="Helvetica Neue" w:cs="Arial"/>
        </w:rPr>
        <w:t xml:space="preserve"> </w:t>
      </w:r>
      <w:r w:rsidR="00C8634C" w:rsidRPr="00680B67">
        <w:rPr>
          <w:rFonts w:ascii="Helvetica Neue" w:eastAsia="Times New Roman" w:hAnsi="Helvetica Neue" w:cs="Arial"/>
        </w:rPr>
        <w:t xml:space="preserve">many </w:t>
      </w:r>
      <w:r w:rsidR="00A25959" w:rsidRPr="00680B67">
        <w:rPr>
          <w:rFonts w:ascii="Helvetica Neue" w:eastAsia="Times New Roman" w:hAnsi="Helvetica Neue" w:cs="Arial"/>
        </w:rPr>
        <w:t xml:space="preserve">measures </w:t>
      </w:r>
      <w:r w:rsidRPr="00680B67">
        <w:rPr>
          <w:rFonts w:ascii="Helvetica Neue" w:eastAsia="Times New Roman" w:hAnsi="Helvetica Neue" w:cs="Arial"/>
        </w:rPr>
        <w:t>can be</w:t>
      </w:r>
      <w:r w:rsidR="00A25959" w:rsidRPr="00680B67">
        <w:rPr>
          <w:rFonts w:ascii="Helvetica Neue" w:eastAsia="Times New Roman" w:hAnsi="Helvetica Neue" w:cs="Arial"/>
        </w:rPr>
        <w:t xml:space="preserve"> identified, it </w:t>
      </w:r>
      <w:r w:rsidRPr="00680B67">
        <w:rPr>
          <w:rFonts w:ascii="Helvetica Neue" w:eastAsia="Times New Roman" w:hAnsi="Helvetica Neue" w:cs="Arial"/>
        </w:rPr>
        <w:t>remains</w:t>
      </w:r>
      <w:r w:rsidR="00A25959" w:rsidRPr="00680B67">
        <w:rPr>
          <w:rFonts w:ascii="Helvetica Neue" w:eastAsia="Times New Roman" w:hAnsi="Helvetica Neue" w:cs="Arial"/>
        </w:rPr>
        <w:t xml:space="preserve"> difficult to </w:t>
      </w:r>
      <w:r w:rsidR="00C43BDF" w:rsidRPr="00680B67">
        <w:rPr>
          <w:rFonts w:ascii="Helvetica Neue" w:eastAsia="Times New Roman" w:hAnsi="Helvetica Neue" w:cs="Arial"/>
        </w:rPr>
        <w:t>establish</w:t>
      </w:r>
      <w:r w:rsidR="00A25959" w:rsidRPr="00680B67">
        <w:rPr>
          <w:rFonts w:ascii="Helvetica Neue" w:eastAsia="Times New Roman" w:hAnsi="Helvetica Neue" w:cs="Arial"/>
        </w:rPr>
        <w:t xml:space="preserve"> causation and determine if </w:t>
      </w:r>
      <w:r w:rsidR="00C43BDF" w:rsidRPr="00680B67">
        <w:rPr>
          <w:rFonts w:ascii="Helvetica Neue" w:eastAsia="Times New Roman" w:hAnsi="Helvetica Neue" w:cs="Arial"/>
        </w:rPr>
        <w:t>a</w:t>
      </w:r>
      <w:r w:rsidR="00A25959" w:rsidRPr="00680B67">
        <w:rPr>
          <w:rFonts w:ascii="Helvetica Neue" w:eastAsia="Times New Roman" w:hAnsi="Helvetica Neue" w:cs="Arial"/>
        </w:rPr>
        <w:t xml:space="preserve"> metric measures what it claims to measure. </w:t>
      </w:r>
    </w:p>
    <w:p w:rsidR="006A2096" w:rsidRDefault="00A25959"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There will need to be an understanding of the context surrounding any data used</w:t>
      </w:r>
      <w:r w:rsidR="00C43BDF" w:rsidRPr="00680B67">
        <w:rPr>
          <w:rFonts w:ascii="Helvetica Neue" w:eastAsia="Times New Roman" w:hAnsi="Helvetica Neue" w:cs="Arial"/>
        </w:rPr>
        <w:t>,</w:t>
      </w:r>
      <w:r w:rsidRPr="00680B67">
        <w:rPr>
          <w:rFonts w:ascii="Helvetica Neue" w:eastAsia="Times New Roman" w:hAnsi="Helvetica Neue" w:cs="Arial"/>
        </w:rPr>
        <w:t xml:space="preserve"> including aspects such as the universities’ student catchment and population characteristics. </w:t>
      </w:r>
    </w:p>
    <w:p w:rsidR="006A2096" w:rsidRDefault="00A25959"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External factors outside the universities</w:t>
      </w:r>
      <w:r w:rsidR="0021414E" w:rsidRPr="00680B67">
        <w:rPr>
          <w:rFonts w:ascii="Helvetica Neue" w:eastAsia="Times New Roman" w:hAnsi="Helvetica Neue" w:cs="Arial"/>
        </w:rPr>
        <w:t>’</w:t>
      </w:r>
      <w:r w:rsidRPr="00680B67">
        <w:rPr>
          <w:rFonts w:ascii="Helvetica Neue" w:eastAsia="Times New Roman" w:hAnsi="Helvetica Neue" w:cs="Arial"/>
        </w:rPr>
        <w:t xml:space="preserve"> control</w:t>
      </w:r>
      <w:r w:rsidR="0021414E" w:rsidRPr="00680B67">
        <w:rPr>
          <w:rFonts w:ascii="Helvetica Neue" w:eastAsia="Times New Roman" w:hAnsi="Helvetica Neue" w:cs="Arial"/>
        </w:rPr>
        <w:t>,</w:t>
      </w:r>
      <w:r w:rsidRPr="00680B67">
        <w:rPr>
          <w:rFonts w:ascii="Helvetica Neue" w:eastAsia="Times New Roman" w:hAnsi="Helvetica Neue" w:cs="Arial"/>
        </w:rPr>
        <w:t xml:space="preserve"> such as a downturn in the economy </w:t>
      </w:r>
      <w:r w:rsidR="0021414E" w:rsidRPr="00680B67">
        <w:rPr>
          <w:rFonts w:ascii="Helvetica Neue" w:eastAsia="Times New Roman" w:hAnsi="Helvetica Neue" w:cs="Arial"/>
        </w:rPr>
        <w:t>that</w:t>
      </w:r>
      <w:r w:rsidRPr="00680B67">
        <w:rPr>
          <w:rFonts w:ascii="Helvetica Neue" w:eastAsia="Times New Roman" w:hAnsi="Helvetica Neue" w:cs="Arial"/>
        </w:rPr>
        <w:t xml:space="preserve"> will impact on graduate employment should be accounted for within the TEF.</w:t>
      </w:r>
      <w:r w:rsidR="00D33179" w:rsidRPr="00680B67">
        <w:rPr>
          <w:rFonts w:ascii="Helvetica Neue" w:eastAsia="Times New Roman" w:hAnsi="Helvetica Neue" w:cs="Arial"/>
        </w:rPr>
        <w:t xml:space="preserve"> </w:t>
      </w:r>
    </w:p>
    <w:p w:rsidR="00D33179" w:rsidRPr="00680B67" w:rsidRDefault="00D33179"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We would encourage the TEF to draw on a diverse range of metrics </w:t>
      </w:r>
      <w:r w:rsidR="00905421">
        <w:rPr>
          <w:rFonts w:ascii="Helvetica Neue" w:eastAsia="Times New Roman" w:hAnsi="Helvetica Neue" w:cs="Arial"/>
        </w:rPr>
        <w:t xml:space="preserve">(but be mindful of limiting bureaucracy) </w:t>
      </w:r>
      <w:r w:rsidRPr="00680B67">
        <w:rPr>
          <w:rFonts w:ascii="Helvetica Neue" w:eastAsia="Times New Roman" w:hAnsi="Helvetica Neue" w:cs="Arial"/>
        </w:rPr>
        <w:t xml:space="preserve">as well as contextual qualitative data such as case studies and peer review processes. </w:t>
      </w:r>
    </w:p>
    <w:p w:rsidR="00CE29EA" w:rsidRDefault="00322E03" w:rsidP="00680B67">
      <w:pPr>
        <w:pStyle w:val="ListParagraph"/>
        <w:numPr>
          <w:ilvl w:val="0"/>
          <w:numId w:val="18"/>
        </w:numPr>
        <w:rPr>
          <w:rFonts w:ascii="Helvetica Neue" w:hAnsi="Helvetica Neue" w:cs="Arial"/>
        </w:rPr>
      </w:pPr>
      <w:r w:rsidRPr="00680B67">
        <w:rPr>
          <w:rFonts w:ascii="Helvetica Neue" w:hAnsi="Helvetica Neue" w:cs="Arial"/>
        </w:rPr>
        <w:lastRenderedPageBreak/>
        <w:t>In c</w:t>
      </w:r>
      <w:r w:rsidR="003C5F5E" w:rsidRPr="00680B67">
        <w:rPr>
          <w:rFonts w:ascii="Helvetica Neue" w:hAnsi="Helvetica Neue" w:cs="Arial"/>
        </w:rPr>
        <w:t>onsidering student satisfaction as a measure of teaching excellence there is a tension between what a university needs to provide for students and what the student may want.  Student satisfaction (and corresponding positive National Student Survey results) are achieved in part by providing more defined curricula/questions and more complete support (references, online lectures, expected outcomes). Universities play a role in challenging students</w:t>
      </w:r>
      <w:r w:rsidR="0021414E" w:rsidRPr="00680B67">
        <w:rPr>
          <w:rFonts w:ascii="Helvetica Neue" w:hAnsi="Helvetica Neue" w:cs="Arial"/>
        </w:rPr>
        <w:t>,</w:t>
      </w:r>
      <w:r w:rsidR="003C5F5E" w:rsidRPr="00680B67">
        <w:rPr>
          <w:rFonts w:ascii="Helvetica Neue" w:hAnsi="Helvetica Neue" w:cs="Arial"/>
        </w:rPr>
        <w:t xml:space="preserve"> “transforming” them into graduates ready to input into society, </w:t>
      </w:r>
      <w:r w:rsidR="0021414E" w:rsidRPr="00680B67">
        <w:rPr>
          <w:rFonts w:ascii="Helvetica Neue" w:hAnsi="Helvetica Neue" w:cs="Arial"/>
        </w:rPr>
        <w:t xml:space="preserve">and </w:t>
      </w:r>
      <w:r w:rsidR="003C5F5E" w:rsidRPr="00680B67">
        <w:rPr>
          <w:rFonts w:ascii="Helvetica Neue" w:hAnsi="Helvetica Neue" w:cs="Arial"/>
        </w:rPr>
        <w:t>this does not necessarily align with what makes students</w:t>
      </w:r>
      <w:r w:rsidR="00CE29EA">
        <w:rPr>
          <w:rFonts w:ascii="Helvetica Neue" w:hAnsi="Helvetica Neue" w:cs="Arial"/>
        </w:rPr>
        <w:t xml:space="preserve"> immediately</w:t>
      </w:r>
      <w:r w:rsidR="003C5F5E" w:rsidRPr="00680B67">
        <w:rPr>
          <w:rFonts w:ascii="Helvetica Neue" w:hAnsi="Helvetica Neue" w:cs="Arial"/>
        </w:rPr>
        <w:t xml:space="preserve"> happy. TEF should take into account parts of the Student Survey such as getting </w:t>
      </w:r>
      <w:r w:rsidR="00C8634C" w:rsidRPr="00680B67">
        <w:rPr>
          <w:rFonts w:ascii="Helvetica Neue" w:hAnsi="Helvetica Neue" w:cs="Arial"/>
        </w:rPr>
        <w:t>useful</w:t>
      </w:r>
      <w:r w:rsidR="003C5F5E" w:rsidRPr="00680B67">
        <w:rPr>
          <w:rFonts w:ascii="Helvetica Neue" w:hAnsi="Helvetica Neue" w:cs="Arial"/>
        </w:rPr>
        <w:t xml:space="preserve"> feedback and having good support structures but should be wary that it does </w:t>
      </w:r>
      <w:r w:rsidR="0021414E" w:rsidRPr="00680B67">
        <w:rPr>
          <w:rFonts w:ascii="Helvetica Neue" w:hAnsi="Helvetica Neue" w:cs="Arial"/>
        </w:rPr>
        <w:t>not</w:t>
      </w:r>
      <w:r w:rsidR="003C5F5E" w:rsidRPr="00680B67">
        <w:rPr>
          <w:rFonts w:ascii="Helvetica Neue" w:hAnsi="Helvetica Neue" w:cs="Arial"/>
        </w:rPr>
        <w:t xml:space="preserve"> cover </w:t>
      </w:r>
      <w:r w:rsidR="00CE29EA">
        <w:rPr>
          <w:rFonts w:ascii="Helvetica Neue" w:hAnsi="Helvetica Neue" w:cs="Arial"/>
        </w:rPr>
        <w:t>all</w:t>
      </w:r>
      <w:r w:rsidR="003C5F5E" w:rsidRPr="00680B67">
        <w:rPr>
          <w:rFonts w:ascii="Helvetica Neue" w:hAnsi="Helvetica Neue" w:cs="Arial"/>
        </w:rPr>
        <w:t xml:space="preserve"> educationally important aspects</w:t>
      </w:r>
      <w:r w:rsidR="0083652D" w:rsidRPr="00680B67">
        <w:rPr>
          <w:rFonts w:ascii="Helvetica Neue" w:hAnsi="Helvetica Neue" w:cs="Arial"/>
        </w:rPr>
        <w:t>.</w:t>
      </w:r>
      <w:r w:rsidR="00C43BDF" w:rsidRPr="00680B67">
        <w:rPr>
          <w:rFonts w:ascii="Helvetica Neue" w:hAnsi="Helvetica Neue" w:cs="Arial"/>
        </w:rPr>
        <w:t xml:space="preserve"> </w:t>
      </w:r>
    </w:p>
    <w:p w:rsidR="00A25959" w:rsidRPr="00680B67" w:rsidRDefault="00D33179" w:rsidP="00680B67">
      <w:pPr>
        <w:pStyle w:val="ListParagraph"/>
        <w:numPr>
          <w:ilvl w:val="0"/>
          <w:numId w:val="18"/>
        </w:numPr>
        <w:rPr>
          <w:rFonts w:ascii="Helvetica Neue" w:hAnsi="Helvetica Neue" w:cs="Arial"/>
        </w:rPr>
      </w:pPr>
      <w:r w:rsidRPr="00680B67">
        <w:rPr>
          <w:rFonts w:ascii="Helvetica Neue" w:hAnsi="Helvetica Neue" w:cs="Arial"/>
        </w:rPr>
        <w:t>I</w:t>
      </w:r>
      <w:r w:rsidR="006A2096" w:rsidRPr="006A2096">
        <w:rPr>
          <w:rFonts w:ascii="Helvetica Neue" w:hAnsi="Helvetica Neue" w:cs="Arial"/>
        </w:rPr>
        <w:t>f drop</w:t>
      </w:r>
      <w:r w:rsidR="006A2096">
        <w:rPr>
          <w:rFonts w:ascii="Helvetica Neue" w:hAnsi="Helvetica Neue" w:cs="Arial"/>
        </w:rPr>
        <w:t>-</w:t>
      </w:r>
      <w:r w:rsidRPr="00680B67">
        <w:rPr>
          <w:rFonts w:ascii="Helvetica Neue" w:hAnsi="Helvetica Neue" w:cs="Arial"/>
        </w:rPr>
        <w:t>out rates are used as a measure, this may push universities towards only selecting stud</w:t>
      </w:r>
      <w:r w:rsidR="00665C56">
        <w:rPr>
          <w:rFonts w:ascii="Helvetica Neue" w:hAnsi="Helvetica Neue" w:cs="Arial"/>
        </w:rPr>
        <w:t xml:space="preserve">ents who can demonstrate </w:t>
      </w:r>
      <w:r w:rsidR="00EA4EA6">
        <w:rPr>
          <w:rFonts w:ascii="Helvetica Neue" w:hAnsi="Helvetica Neue" w:cs="Arial"/>
        </w:rPr>
        <w:t>d</w:t>
      </w:r>
      <w:r w:rsidRPr="00680B67">
        <w:rPr>
          <w:rFonts w:ascii="Helvetica Neue" w:hAnsi="Helvetica Neue" w:cs="Arial"/>
        </w:rPr>
        <w:t>edication to their chosen subject</w:t>
      </w:r>
      <w:r w:rsidR="00CE29EA" w:rsidRPr="00CE29EA">
        <w:rPr>
          <w:rFonts w:ascii="Helvetica Neue" w:hAnsi="Helvetica Neue" w:cs="Arial"/>
        </w:rPr>
        <w:t>,</w:t>
      </w:r>
      <w:r w:rsidR="00CE29EA">
        <w:rPr>
          <w:rFonts w:ascii="Helvetica Neue" w:hAnsi="Helvetica Neue" w:cs="Arial"/>
        </w:rPr>
        <w:t xml:space="preserve"> </w:t>
      </w:r>
      <w:r w:rsidRPr="00680B67">
        <w:rPr>
          <w:rFonts w:ascii="Helvetica Neue" w:hAnsi="Helvetica Neue" w:cs="Arial"/>
        </w:rPr>
        <w:t xml:space="preserve">this may reduce the choices available for </w:t>
      </w:r>
      <w:r w:rsidR="00C8634C" w:rsidRPr="00680B67">
        <w:rPr>
          <w:rFonts w:ascii="Helvetica Neue" w:hAnsi="Helvetica Neue" w:cs="Arial"/>
        </w:rPr>
        <w:t xml:space="preserve">some </w:t>
      </w:r>
      <w:r w:rsidR="00EA4EA6">
        <w:rPr>
          <w:rFonts w:ascii="Helvetica Neue" w:hAnsi="Helvetica Neue" w:cs="Arial"/>
        </w:rPr>
        <w:t>students. It could negatively impact on the willingness of universities to run Foundation courses, often aimed at “hard to reach” communities and lower income families where drop-out rates are always higher.</w:t>
      </w:r>
    </w:p>
    <w:p w:rsidR="00CE29EA" w:rsidRDefault="00A25959"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The time for administration and the financial costs of the TEF must not be too </w:t>
      </w:r>
      <w:r w:rsidR="00384F4C" w:rsidRPr="00680B67">
        <w:rPr>
          <w:rFonts w:ascii="Helvetica Neue" w:eastAsia="Times New Roman" w:hAnsi="Helvetica Neue" w:cs="Arial"/>
        </w:rPr>
        <w:t>great</w:t>
      </w:r>
      <w:r w:rsidRPr="00680B67">
        <w:rPr>
          <w:rFonts w:ascii="Helvetica Neue" w:eastAsia="Times New Roman" w:hAnsi="Helvetica Neue" w:cs="Arial"/>
        </w:rPr>
        <w:t>, effectively pulling resources away from the students in order to manage its implementation.</w:t>
      </w:r>
    </w:p>
    <w:p w:rsidR="002E24C0" w:rsidRPr="00680B67" w:rsidRDefault="003C5F5E"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 A lower rating through the TEF should not have such a punitive effect that prospective students abandon the institution </w:t>
      </w:r>
      <w:r w:rsidR="00322E03" w:rsidRPr="00680B67">
        <w:rPr>
          <w:rFonts w:ascii="Helvetica Neue" w:eastAsia="Times New Roman" w:hAnsi="Helvetica Neue" w:cs="Arial"/>
        </w:rPr>
        <w:t>causing funding to fall</w:t>
      </w:r>
      <w:r w:rsidRPr="00680B67">
        <w:rPr>
          <w:rFonts w:ascii="Helvetica Neue" w:eastAsia="Times New Roman" w:hAnsi="Helvetica Neue" w:cs="Arial"/>
        </w:rPr>
        <w:t>, preventing the institution from being able to improve.</w:t>
      </w:r>
      <w:r w:rsidR="00A25959" w:rsidRPr="00680B67">
        <w:rPr>
          <w:rFonts w:ascii="Helvetica Neue" w:eastAsia="Times New Roman" w:hAnsi="Helvetica Neue" w:cs="Arial"/>
        </w:rPr>
        <w:t xml:space="preserve"> </w:t>
      </w:r>
      <w:r w:rsidR="0083652D" w:rsidRPr="00680B67">
        <w:rPr>
          <w:rFonts w:ascii="Helvetica Neue" w:eastAsia="Times New Roman" w:hAnsi="Helvetica Neue" w:cs="Arial"/>
        </w:rPr>
        <w:t xml:space="preserve">This is especially important </w:t>
      </w:r>
      <w:r w:rsidR="001C4EAD" w:rsidRPr="00680B67">
        <w:rPr>
          <w:rFonts w:ascii="Helvetica Neue" w:eastAsia="Times New Roman" w:hAnsi="Helvetica Neue" w:cs="Arial"/>
        </w:rPr>
        <w:t xml:space="preserve">at a programme level </w:t>
      </w:r>
      <w:r w:rsidR="0083652D" w:rsidRPr="00680B67">
        <w:rPr>
          <w:rFonts w:ascii="Helvetica Neue" w:eastAsia="Times New Roman" w:hAnsi="Helvetica Neue" w:cs="Arial"/>
        </w:rPr>
        <w:t xml:space="preserve">for </w:t>
      </w:r>
      <w:r w:rsidR="001C4EAD" w:rsidRPr="00680B67">
        <w:rPr>
          <w:rFonts w:ascii="Helvetica Neue" w:eastAsia="Times New Roman" w:hAnsi="Helvetica Neue" w:cs="Arial"/>
        </w:rPr>
        <w:t xml:space="preserve">specialist subjects that are not widely taught, and subjects which are already high cost (often practical based). </w:t>
      </w:r>
      <w:r w:rsidR="00B8258E" w:rsidRPr="00680B67">
        <w:rPr>
          <w:rFonts w:ascii="Helvetica Neue" w:eastAsia="Times New Roman" w:hAnsi="Helvetica Neue" w:cs="Arial"/>
        </w:rPr>
        <w:t>Bioscience and life</w:t>
      </w:r>
      <w:r w:rsidR="006A2096">
        <w:rPr>
          <w:rFonts w:ascii="Helvetica Neue" w:eastAsia="Times New Roman" w:hAnsi="Helvetica Neue" w:cs="Arial"/>
        </w:rPr>
        <w:t xml:space="preserve"> </w:t>
      </w:r>
      <w:r w:rsidR="006A2096" w:rsidRPr="006A2096">
        <w:rPr>
          <w:rFonts w:ascii="Helvetica Neue" w:eastAsia="Times New Roman" w:hAnsi="Helvetica Neue" w:cs="Arial"/>
        </w:rPr>
        <w:t>s</w:t>
      </w:r>
      <w:r w:rsidR="00B8258E" w:rsidRPr="00680B67">
        <w:rPr>
          <w:rFonts w:ascii="Helvetica Neue" w:eastAsia="Times New Roman" w:hAnsi="Helvetica Neue" w:cs="Arial"/>
        </w:rPr>
        <w:t>cience degree courses require students to engage with a large quantity of practical work, and are expensive degree courses to run</w:t>
      </w:r>
      <w:r w:rsidR="00132C1C" w:rsidRPr="00680B67">
        <w:rPr>
          <w:rFonts w:ascii="Helvetica Neue" w:eastAsia="Times New Roman" w:hAnsi="Helvetica Neue" w:cs="Arial"/>
        </w:rPr>
        <w:t>;</w:t>
      </w:r>
      <w:r w:rsidR="00B8258E" w:rsidRPr="00680B67">
        <w:rPr>
          <w:rFonts w:ascii="Helvetica Neue" w:eastAsia="Times New Roman" w:hAnsi="Helvetica Neue" w:cs="Arial"/>
        </w:rPr>
        <w:t xml:space="preserve"> finance can be a limiting factor. Linking the TEF results to fees set for courses could have a hugely detrimental impact on universities being able to fund these courses.</w:t>
      </w:r>
    </w:p>
    <w:p w:rsidR="00952014" w:rsidRPr="00680B67" w:rsidRDefault="00952014"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An additional consideration will need to be the time required for the implementation of the TEF within institutions and the support and guidance that will be required to enable it to be successful. Higher Education Institutions will need time to adjust to new procedures. </w:t>
      </w:r>
    </w:p>
    <w:p w:rsidR="0005457B" w:rsidRPr="00680B67" w:rsidRDefault="0005457B" w:rsidP="00680B67">
      <w:pPr>
        <w:pStyle w:val="ListParagraph"/>
        <w:numPr>
          <w:ilvl w:val="0"/>
          <w:numId w:val="24"/>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 xml:space="preserve">How should the proposed connection between fee level and teaching quality be managed? </w:t>
      </w:r>
    </w:p>
    <w:p w:rsidR="003C5F5E" w:rsidRPr="00680B67" w:rsidRDefault="0005457B" w:rsidP="003C5F5E">
      <w:pPr>
        <w:pStyle w:val="ListParagraph"/>
        <w:numPr>
          <w:ilvl w:val="0"/>
          <w:numId w:val="20"/>
        </w:numPr>
        <w:spacing w:before="100" w:beforeAutospacing="1" w:after="100" w:afterAutospacing="1" w:line="240" w:lineRule="auto"/>
        <w:rPr>
          <w:rFonts w:ascii="Helvetica Neue" w:eastAsia="Times New Roman" w:hAnsi="Helvetica Neue" w:cs="Arial"/>
          <w:b/>
        </w:rPr>
      </w:pPr>
      <w:r w:rsidRPr="00680B67">
        <w:rPr>
          <w:rFonts w:ascii="Helvetica Neue" w:eastAsia="Times New Roman" w:hAnsi="Helvetica Neue" w:cs="Arial"/>
          <w:b/>
        </w:rPr>
        <w:t xml:space="preserve">What should be the relationship between the Teaching Excellence Framework and fee level? </w:t>
      </w:r>
    </w:p>
    <w:p w:rsidR="003C5F5E" w:rsidRPr="00680B67" w:rsidRDefault="003C5F5E"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Feedback from members of the RSB has raised a number of concerns regarding linking the Teaching Excellence Framework with the level of fees that a higher education institution can charge. </w:t>
      </w:r>
      <w:r w:rsidR="001C4EAD" w:rsidRPr="00680B67">
        <w:rPr>
          <w:rFonts w:ascii="Helvetica Neue" w:eastAsia="Times New Roman" w:hAnsi="Helvetica Neue" w:cs="Arial"/>
        </w:rPr>
        <w:t xml:space="preserve">The RSB would be </w:t>
      </w:r>
      <w:r w:rsidR="00C8634C" w:rsidRPr="00680B67">
        <w:rPr>
          <w:rFonts w:ascii="Helvetica Neue" w:eastAsia="Times New Roman" w:hAnsi="Helvetica Neue" w:cs="Arial"/>
        </w:rPr>
        <w:t xml:space="preserve">opposed to the </w:t>
      </w:r>
      <w:r w:rsidR="001C4EAD" w:rsidRPr="00680B67">
        <w:rPr>
          <w:rFonts w:ascii="Helvetica Neue" w:eastAsia="Times New Roman" w:hAnsi="Helvetica Neue" w:cs="Arial"/>
        </w:rPr>
        <w:t xml:space="preserve"> linking </w:t>
      </w:r>
      <w:r w:rsidR="00C8634C" w:rsidRPr="00680B67">
        <w:rPr>
          <w:rFonts w:ascii="Helvetica Neue" w:eastAsia="Times New Roman" w:hAnsi="Helvetica Neue" w:cs="Arial"/>
        </w:rPr>
        <w:t xml:space="preserve">of </w:t>
      </w:r>
      <w:r w:rsidR="001C4EAD" w:rsidRPr="00680B67">
        <w:rPr>
          <w:rFonts w:ascii="Helvetica Neue" w:eastAsia="Times New Roman" w:hAnsi="Helvetica Neue" w:cs="Arial"/>
        </w:rPr>
        <w:t>tuition fees directly to the outcomes of the TEF.</w:t>
      </w:r>
    </w:p>
    <w:p w:rsidR="0005457B" w:rsidRPr="00680B67" w:rsidRDefault="0005457B" w:rsidP="0005457B">
      <w:pPr>
        <w:spacing w:before="100" w:beforeAutospacing="1" w:after="100" w:afterAutospacing="1" w:line="240" w:lineRule="auto"/>
        <w:ind w:left="720"/>
        <w:rPr>
          <w:rFonts w:ascii="Helvetica Neue" w:eastAsia="Times New Roman" w:hAnsi="Helvetica Neue" w:cs="Arial"/>
          <w:b/>
        </w:rPr>
      </w:pPr>
      <w:r w:rsidRPr="00680B67">
        <w:rPr>
          <w:rFonts w:ascii="Helvetica Neue" w:eastAsia="Times New Roman" w:hAnsi="Helvetica Neue" w:cs="Arial"/>
          <w:b/>
        </w:rPr>
        <w:t xml:space="preserve">b. What are the benefits or risks of this approach to setting fees? </w:t>
      </w:r>
    </w:p>
    <w:p w:rsidR="00172D0E" w:rsidRPr="00680B67" w:rsidRDefault="003C5F5E"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 xml:space="preserve">Variable fees may </w:t>
      </w:r>
      <w:r w:rsidR="00052105" w:rsidRPr="00680B67">
        <w:rPr>
          <w:rFonts w:ascii="Helvetica Neue" w:eastAsia="Times New Roman" w:hAnsi="Helvetica Neue" w:cs="Arial"/>
        </w:rPr>
        <w:t xml:space="preserve">dissuade </w:t>
      </w:r>
      <w:r w:rsidRPr="00680B67">
        <w:rPr>
          <w:rFonts w:ascii="Helvetica Neue" w:eastAsia="Times New Roman" w:hAnsi="Helvetica Neue" w:cs="Arial"/>
        </w:rPr>
        <w:t>applica</w:t>
      </w:r>
      <w:r w:rsidR="00052105" w:rsidRPr="00680B67">
        <w:rPr>
          <w:rFonts w:ascii="Helvetica Neue" w:eastAsia="Times New Roman" w:hAnsi="Helvetica Neue" w:cs="Arial"/>
        </w:rPr>
        <w:t>nts</w:t>
      </w:r>
      <w:r w:rsidRPr="00680B67">
        <w:rPr>
          <w:rFonts w:ascii="Helvetica Neue" w:eastAsia="Times New Roman" w:hAnsi="Helvetica Neue" w:cs="Arial"/>
        </w:rPr>
        <w:t xml:space="preserve"> from low-income backgrounds</w:t>
      </w:r>
      <w:r w:rsidR="00172D0E" w:rsidRPr="00680B67">
        <w:rPr>
          <w:rFonts w:ascii="Helvetica Neue" w:eastAsia="Times New Roman" w:hAnsi="Helvetica Neue" w:cs="Arial"/>
        </w:rPr>
        <w:t xml:space="preserve"> </w:t>
      </w:r>
      <w:r w:rsidR="0068023D" w:rsidRPr="00680B67">
        <w:rPr>
          <w:rFonts w:ascii="Helvetica Neue" w:eastAsia="Times New Roman" w:hAnsi="Helvetica Neue" w:cs="Arial"/>
        </w:rPr>
        <w:t>from approaching</w:t>
      </w:r>
      <w:r w:rsidR="00172D0E" w:rsidRPr="00680B67">
        <w:rPr>
          <w:rFonts w:ascii="Helvetica Neue" w:eastAsia="Times New Roman" w:hAnsi="Helvetica Neue" w:cs="Arial"/>
        </w:rPr>
        <w:t xml:space="preserve"> institutions </w:t>
      </w:r>
      <w:r w:rsidR="00384F4C" w:rsidRPr="00680B67">
        <w:rPr>
          <w:rFonts w:ascii="Helvetica Neue" w:eastAsia="Times New Roman" w:hAnsi="Helvetica Neue" w:cs="Arial"/>
        </w:rPr>
        <w:t>that</w:t>
      </w:r>
      <w:r w:rsidR="00172D0E" w:rsidRPr="00680B67">
        <w:rPr>
          <w:rFonts w:ascii="Helvetica Neue" w:eastAsia="Times New Roman" w:hAnsi="Helvetica Neue" w:cs="Arial"/>
        </w:rPr>
        <w:t xml:space="preserve"> are deemed to have excellent teachers. To make the greatest impact</w:t>
      </w:r>
      <w:r w:rsidR="00052105" w:rsidRPr="00680B67">
        <w:rPr>
          <w:rFonts w:ascii="Helvetica Neue" w:eastAsia="Times New Roman" w:hAnsi="Helvetica Neue" w:cs="Arial"/>
        </w:rPr>
        <w:t>,</w:t>
      </w:r>
      <w:r w:rsidR="0068023D" w:rsidRPr="00680B67">
        <w:rPr>
          <w:rFonts w:ascii="Helvetica Neue" w:eastAsia="Times New Roman" w:hAnsi="Helvetica Neue" w:cs="Arial"/>
        </w:rPr>
        <w:t xml:space="preserve"> </w:t>
      </w:r>
      <w:r w:rsidR="00052105" w:rsidRPr="00680B67">
        <w:rPr>
          <w:rFonts w:ascii="Helvetica Neue" w:eastAsia="Times New Roman" w:hAnsi="Helvetica Neue" w:cs="Arial"/>
        </w:rPr>
        <w:t xml:space="preserve">materially </w:t>
      </w:r>
      <w:r w:rsidR="00172D0E" w:rsidRPr="00680B67">
        <w:rPr>
          <w:rFonts w:ascii="Helvetica Neue" w:eastAsia="Times New Roman" w:hAnsi="Helvetica Neue" w:cs="Arial"/>
        </w:rPr>
        <w:t>disadvantaged students need access to the best teachers</w:t>
      </w:r>
      <w:r w:rsidR="0021414E" w:rsidRPr="00680B67">
        <w:rPr>
          <w:rFonts w:ascii="Helvetica Neue" w:eastAsia="Times New Roman" w:hAnsi="Helvetica Neue" w:cs="Arial"/>
        </w:rPr>
        <w:t>,</w:t>
      </w:r>
      <w:r w:rsidR="00172D0E" w:rsidRPr="00680B67">
        <w:rPr>
          <w:rFonts w:ascii="Helvetica Neue" w:eastAsia="Times New Roman" w:hAnsi="Helvetica Neue" w:cs="Arial"/>
        </w:rPr>
        <w:t xml:space="preserve"> and </w:t>
      </w:r>
      <w:r w:rsidR="00C43BDF" w:rsidRPr="00680B67">
        <w:rPr>
          <w:rFonts w:ascii="Helvetica Neue" w:eastAsia="Times New Roman" w:hAnsi="Helvetica Neue" w:cs="Arial"/>
        </w:rPr>
        <w:t xml:space="preserve">fee </w:t>
      </w:r>
      <w:r w:rsidR="00172D0E" w:rsidRPr="00680B67">
        <w:rPr>
          <w:rFonts w:ascii="Helvetica Neue" w:eastAsia="Times New Roman" w:hAnsi="Helvetica Neue" w:cs="Arial"/>
        </w:rPr>
        <w:t>increases</w:t>
      </w:r>
      <w:r w:rsidR="00C43BDF" w:rsidRPr="00680B67">
        <w:rPr>
          <w:rFonts w:ascii="Helvetica Neue" w:eastAsia="Times New Roman" w:hAnsi="Helvetica Neue" w:cs="Arial"/>
        </w:rPr>
        <w:t>,</w:t>
      </w:r>
      <w:r w:rsidR="00172D0E" w:rsidRPr="00680B67">
        <w:rPr>
          <w:rFonts w:ascii="Helvetica Neue" w:eastAsia="Times New Roman" w:hAnsi="Helvetica Neue" w:cs="Arial"/>
        </w:rPr>
        <w:t xml:space="preserve"> </w:t>
      </w:r>
      <w:r w:rsidR="00052105" w:rsidRPr="00680B67">
        <w:rPr>
          <w:rFonts w:ascii="Helvetica Neue" w:eastAsia="Times New Roman" w:hAnsi="Helvetica Neue" w:cs="Arial"/>
        </w:rPr>
        <w:t xml:space="preserve">would </w:t>
      </w:r>
      <w:r w:rsidR="00172D0E" w:rsidRPr="00680B67">
        <w:rPr>
          <w:rFonts w:ascii="Helvetica Neue" w:eastAsia="Times New Roman" w:hAnsi="Helvetica Neue" w:cs="Arial"/>
        </w:rPr>
        <w:t>add another barrier.</w:t>
      </w:r>
      <w:r w:rsidR="001C4EAD" w:rsidRPr="00680B67">
        <w:rPr>
          <w:rFonts w:ascii="Helvetica Neue" w:eastAsia="Times New Roman" w:hAnsi="Helvetica Neue" w:cs="Arial"/>
        </w:rPr>
        <w:t xml:space="preserve"> With a better outcome in the TEF universities could </w:t>
      </w:r>
      <w:r w:rsidR="008674D2" w:rsidRPr="00680B67">
        <w:rPr>
          <w:rFonts w:ascii="Helvetica Neue" w:eastAsia="Times New Roman" w:hAnsi="Helvetica Neue" w:cs="Arial"/>
        </w:rPr>
        <w:t xml:space="preserve">also </w:t>
      </w:r>
      <w:r w:rsidR="001C4EAD" w:rsidRPr="00680B67">
        <w:rPr>
          <w:rFonts w:ascii="Helvetica Neue" w:eastAsia="Times New Roman" w:hAnsi="Helvetica Neue" w:cs="Arial"/>
        </w:rPr>
        <w:t>decide to request higher entry requirements for students</w:t>
      </w:r>
      <w:r w:rsidR="008674D2" w:rsidRPr="00680B67">
        <w:rPr>
          <w:rFonts w:ascii="Helvetica Neue" w:eastAsia="Times New Roman" w:hAnsi="Helvetica Neue" w:cs="Arial"/>
        </w:rPr>
        <w:t xml:space="preserve"> making the process more selective.  If TEF enables the whole institution to raise fees when </w:t>
      </w:r>
      <w:r w:rsidR="008674D2" w:rsidRPr="00680B67">
        <w:rPr>
          <w:rFonts w:ascii="Helvetica Neue" w:eastAsia="Times New Roman" w:hAnsi="Helvetica Neue" w:cs="Arial"/>
        </w:rPr>
        <w:lastRenderedPageBreak/>
        <w:t>not all of its departments are of the same standard then students in the departments that have not got excellent teaching are penalised.</w:t>
      </w:r>
    </w:p>
    <w:p w:rsidR="0005457B" w:rsidRPr="00680B67" w:rsidRDefault="0005457B" w:rsidP="00C8634C">
      <w:pPr>
        <w:pStyle w:val="ListParagraph"/>
        <w:rPr>
          <w:rFonts w:ascii="Helvetica Neue" w:eastAsia="Times New Roman" w:hAnsi="Helvetica Neue" w:cs="Arial"/>
        </w:rPr>
      </w:pPr>
    </w:p>
    <w:p w:rsidR="00172D0E" w:rsidRDefault="00172D0E" w:rsidP="00680B67">
      <w:pPr>
        <w:pStyle w:val="ListParagraph"/>
        <w:numPr>
          <w:ilvl w:val="0"/>
          <w:numId w:val="18"/>
        </w:numPr>
        <w:rPr>
          <w:rFonts w:ascii="Helvetica Neue" w:eastAsia="Times New Roman" w:hAnsi="Helvetica Neue" w:cs="Arial"/>
        </w:rPr>
      </w:pPr>
      <w:r w:rsidRPr="00680B67">
        <w:rPr>
          <w:rFonts w:ascii="Helvetica Neue" w:eastAsia="Times New Roman" w:hAnsi="Helvetica Neue" w:cs="Arial"/>
        </w:rPr>
        <w:t>A better financial reward based upon performance</w:t>
      </w:r>
      <w:r w:rsidR="00052105" w:rsidRPr="00680B67">
        <w:rPr>
          <w:rFonts w:ascii="Helvetica Neue" w:eastAsia="Times New Roman" w:hAnsi="Helvetica Neue" w:cs="Arial"/>
        </w:rPr>
        <w:t xml:space="preserve"> in the TEF</w:t>
      </w:r>
      <w:r w:rsidRPr="00680B67">
        <w:rPr>
          <w:rFonts w:ascii="Helvetica Neue" w:eastAsia="Times New Roman" w:hAnsi="Helvetica Neue" w:cs="Arial"/>
        </w:rPr>
        <w:t xml:space="preserve"> would be to allow additional funding</w:t>
      </w:r>
      <w:r w:rsidR="0021414E" w:rsidRPr="00680B67">
        <w:rPr>
          <w:rFonts w:ascii="Helvetica Neue" w:eastAsia="Times New Roman" w:hAnsi="Helvetica Neue" w:cs="Arial"/>
        </w:rPr>
        <w:t xml:space="preserve"> to be</w:t>
      </w:r>
      <w:r w:rsidRPr="00680B67">
        <w:rPr>
          <w:rFonts w:ascii="Helvetica Neue" w:eastAsia="Times New Roman" w:hAnsi="Helvetica Neue" w:cs="Arial"/>
        </w:rPr>
        <w:t xml:space="preserve"> ring</w:t>
      </w:r>
      <w:r w:rsidR="0021414E" w:rsidRPr="00680B67">
        <w:rPr>
          <w:rFonts w:ascii="Helvetica Neue" w:eastAsia="Times New Roman" w:hAnsi="Helvetica Neue" w:cs="Arial"/>
        </w:rPr>
        <w:t>-</w:t>
      </w:r>
      <w:r w:rsidRPr="00680B67">
        <w:rPr>
          <w:rFonts w:ascii="Helvetica Neue" w:eastAsia="Times New Roman" w:hAnsi="Helvetica Neue" w:cs="Arial"/>
        </w:rPr>
        <w:t xml:space="preserve">fenced for funding teaching initiatives </w:t>
      </w:r>
      <w:r w:rsidR="00384F4C" w:rsidRPr="00680B67">
        <w:rPr>
          <w:rFonts w:ascii="Helvetica Neue" w:eastAsia="Times New Roman" w:hAnsi="Helvetica Neue" w:cs="Arial"/>
        </w:rPr>
        <w:t>that</w:t>
      </w:r>
      <w:r w:rsidRPr="00680B67">
        <w:rPr>
          <w:rFonts w:ascii="Helvetica Neue" w:eastAsia="Times New Roman" w:hAnsi="Helvetica Neue" w:cs="Arial"/>
        </w:rPr>
        <w:t xml:space="preserve"> can improve the student experience.</w:t>
      </w:r>
    </w:p>
    <w:p w:rsidR="000E76E2" w:rsidRPr="000E76E2" w:rsidRDefault="000E76E2" w:rsidP="000E76E2">
      <w:pPr>
        <w:pStyle w:val="ListParagraph"/>
        <w:rPr>
          <w:rFonts w:ascii="Helvetica Neue" w:eastAsia="Times New Roman" w:hAnsi="Helvetica Neue" w:cs="Arial"/>
        </w:rPr>
      </w:pPr>
    </w:p>
    <w:p w:rsidR="000E76E2" w:rsidRPr="00680B67" w:rsidRDefault="000E76E2" w:rsidP="00680B67">
      <w:pPr>
        <w:pStyle w:val="ListParagraph"/>
        <w:numPr>
          <w:ilvl w:val="0"/>
          <w:numId w:val="18"/>
        </w:numPr>
        <w:rPr>
          <w:rFonts w:ascii="Helvetica Neue" w:eastAsia="Times New Roman" w:hAnsi="Helvetica Neue" w:cs="Arial"/>
        </w:rPr>
      </w:pPr>
      <w:r>
        <w:rPr>
          <w:rFonts w:ascii="Helvetica Neue" w:eastAsia="Times New Roman" w:hAnsi="Helvetica Neue" w:cs="Arial"/>
        </w:rPr>
        <w:t>The TEF should be seen as part of a roadmap to better teaching across the board. It sends a strong message about the value of teaching. It should evolve overtime, learning from an initial base of qualitative and quantitative metrics that are valuable but easy to implement, allowing universities themselves to be innovative, helping to inform future development of the TEF.</w:t>
      </w:r>
    </w:p>
    <w:p w:rsidR="002B58AF" w:rsidRPr="00680B67" w:rsidRDefault="002B58AF" w:rsidP="0005457B">
      <w:pPr>
        <w:pStyle w:val="ListParagraph"/>
        <w:rPr>
          <w:rFonts w:ascii="Helvetica Neue" w:eastAsia="Times New Roman" w:hAnsi="Helvetica Neue" w:cs="Arial"/>
        </w:rPr>
      </w:pPr>
    </w:p>
    <w:sectPr w:rsidR="002B58AF" w:rsidRPr="00680B67" w:rsidSect="004A6E3B">
      <w:headerReference w:type="even" r:id="rId9"/>
      <w:headerReference w:type="default" r:id="rId10"/>
      <w:footerReference w:type="default" r:id="rId11"/>
      <w:headerReference w:type="first" r:id="rId12"/>
      <w:footerReference w:type="first" r:id="rId13"/>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04" w:rsidRDefault="00433904">
      <w:r>
        <w:separator/>
      </w:r>
    </w:p>
  </w:endnote>
  <w:endnote w:type="continuationSeparator" w:id="0">
    <w:p w:rsidR="00433904" w:rsidRDefault="0043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57" w:rsidRPr="004A6E3B" w:rsidRDefault="006E6457">
    <w:pPr>
      <w:pStyle w:val="Footer"/>
      <w:jc w:val="center"/>
      <w:rPr>
        <w:rFonts w:ascii="Helvetica Neue" w:hAnsi="Helvetica Neue"/>
      </w:rPr>
    </w:pPr>
    <w:r w:rsidRPr="004A6E3B">
      <w:rPr>
        <w:rFonts w:ascii="Helvetica Neue" w:hAnsi="Helvetica Neue"/>
      </w:rPr>
      <w:fldChar w:fldCharType="begin"/>
    </w:r>
    <w:r w:rsidRPr="004A6E3B">
      <w:rPr>
        <w:rFonts w:ascii="Helvetica Neue" w:hAnsi="Helvetica Neue"/>
      </w:rPr>
      <w:instrText xml:space="preserve"> PAGE   \* MERGEFORMAT </w:instrText>
    </w:r>
    <w:r w:rsidRPr="004A6E3B">
      <w:rPr>
        <w:rFonts w:ascii="Helvetica Neue" w:hAnsi="Helvetica Neue"/>
      </w:rPr>
      <w:fldChar w:fldCharType="separate"/>
    </w:r>
    <w:r w:rsidR="00D12582">
      <w:rPr>
        <w:rFonts w:ascii="Helvetica Neue" w:hAnsi="Helvetica Neue"/>
        <w:noProof/>
      </w:rPr>
      <w:t>2</w:t>
    </w:r>
    <w:r w:rsidRPr="004A6E3B">
      <w:rPr>
        <w:rFonts w:ascii="Helvetica Neue" w:hAnsi="Helvetica Neue"/>
        <w:noProof/>
      </w:rPr>
      <w:fldChar w:fldCharType="end"/>
    </w:r>
  </w:p>
  <w:p w:rsidR="006E6457" w:rsidRPr="00054E86" w:rsidRDefault="006E6457"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57" w:rsidRDefault="006E6457" w:rsidP="00124B50">
    <w:pPr>
      <w:pStyle w:val="Footer"/>
      <w:spacing w:after="120"/>
      <w:rPr>
        <w:rFonts w:ascii="Arial" w:hAnsi="Arial" w:cs="Arial"/>
        <w:color w:val="0000FF"/>
        <w:sz w:val="20"/>
        <w:szCs w:val="20"/>
        <w:u w:val="single"/>
      </w:rPr>
    </w:pPr>
    <w:r>
      <w:rPr>
        <w:rFonts w:ascii="Arial" w:hAnsi="Arial" w:cs="Arial"/>
        <w:sz w:val="20"/>
        <w:szCs w:val="20"/>
      </w:rPr>
      <w:t>Charles Darwin House, 12 Roger Street, London WC1N 2JU</w:t>
    </w:r>
    <w:r w:rsidRPr="00124B50">
      <w:rPr>
        <w:rFonts w:ascii="Arial" w:hAnsi="Arial" w:cs="Arial"/>
        <w:sz w:val="20"/>
        <w:szCs w:val="20"/>
      </w:rPr>
      <w:t xml:space="preserve">  Tel: +44 (0)20 7</w:t>
    </w:r>
    <w:r>
      <w:rPr>
        <w:rFonts w:ascii="Arial" w:hAnsi="Arial" w:cs="Arial"/>
        <w:sz w:val="20"/>
        <w:szCs w:val="20"/>
      </w:rPr>
      <w:t>685</w:t>
    </w:r>
    <w:r w:rsidRPr="00124B50">
      <w:rPr>
        <w:rFonts w:ascii="Arial" w:hAnsi="Arial" w:cs="Arial"/>
        <w:sz w:val="20"/>
        <w:szCs w:val="20"/>
      </w:rPr>
      <w:t xml:space="preserve"> </w:t>
    </w:r>
    <w:r>
      <w:rPr>
        <w:rFonts w:ascii="Arial" w:hAnsi="Arial" w:cs="Arial"/>
        <w:sz w:val="20"/>
        <w:szCs w:val="20"/>
      </w:rPr>
      <w:t>2550</w:t>
    </w:r>
    <w:r w:rsidRPr="00124B50">
      <w:rPr>
        <w:rFonts w:ascii="Arial" w:hAnsi="Arial" w:cs="Arial"/>
        <w:sz w:val="20"/>
        <w:szCs w:val="20"/>
      </w:rPr>
      <w:t xml:space="preserve">  </w:t>
    </w:r>
    <w:hyperlink r:id="rId1" w:history="1">
      <w:r w:rsidRPr="001E663B">
        <w:rPr>
          <w:rStyle w:val="Hyperlink"/>
          <w:rFonts w:ascii="Arial" w:hAnsi="Arial" w:cs="Arial"/>
          <w:sz w:val="20"/>
          <w:szCs w:val="20"/>
        </w:rPr>
        <w:t>info@rsb.org.uk</w:t>
      </w:r>
    </w:hyperlink>
  </w:p>
  <w:p w:rsidR="006E6457" w:rsidRPr="00124B50" w:rsidRDefault="006E6457" w:rsidP="00124B50">
    <w:pPr>
      <w:pStyle w:val="Footer"/>
      <w:spacing w:after="120"/>
      <w:rPr>
        <w:rFonts w:ascii="Arial" w:hAnsi="Arial" w:cs="Arial"/>
        <w:sz w:val="20"/>
        <w:szCs w:val="20"/>
      </w:rPr>
    </w:pPr>
    <w:r>
      <w:rPr>
        <w:rFonts w:ascii="Arial" w:hAnsi="Arial" w:cs="Arial"/>
        <w:color w:val="0000FF"/>
        <w:sz w:val="20"/>
        <w:szCs w:val="20"/>
        <w:u w:val="single"/>
      </w:rPr>
      <w:t>www.rsb.org.uk</w:t>
    </w:r>
  </w:p>
  <w:p w:rsidR="006E6457" w:rsidRDefault="006E6457" w:rsidP="00124B50">
    <w:pPr>
      <w:pStyle w:val="Footer"/>
      <w:shd w:val="clear" w:color="auto" w:fill="000090"/>
      <w:ind w:right="30"/>
      <w:rPr>
        <w:rFonts w:ascii="Arial" w:hAnsi="Arial"/>
        <w:color w:val="00AE00"/>
        <w:sz w:val="20"/>
        <w:szCs w:val="20"/>
      </w:rPr>
    </w:pPr>
  </w:p>
  <w:p w:rsidR="006E6457" w:rsidRDefault="006E6457"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6E6457" w:rsidRDefault="006E6457" w:rsidP="00124B50">
    <w:pPr>
      <w:pStyle w:val="Footer"/>
      <w:shd w:val="clear" w:color="auto" w:fill="000090"/>
      <w:ind w:right="30"/>
      <w:rPr>
        <w:rFonts w:ascii="Arial" w:hAnsi="Arial"/>
        <w:color w:val="00AE00"/>
        <w:sz w:val="18"/>
        <w:szCs w:val="18"/>
      </w:rPr>
    </w:pPr>
  </w:p>
  <w:p w:rsidR="006E6457" w:rsidRDefault="006E6457"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04" w:rsidRDefault="00433904">
      <w:r>
        <w:separator/>
      </w:r>
    </w:p>
  </w:footnote>
  <w:footnote w:type="continuationSeparator" w:id="0">
    <w:p w:rsidR="00433904" w:rsidRDefault="00433904">
      <w:r>
        <w:continuationSeparator/>
      </w:r>
    </w:p>
  </w:footnote>
  <w:footnote w:id="1">
    <w:p w:rsidR="00E24F98" w:rsidRDefault="00E24F98">
      <w:pPr>
        <w:pStyle w:val="FootnoteText"/>
      </w:pPr>
      <w:r>
        <w:rPr>
          <w:rStyle w:val="FootnoteReference"/>
        </w:rPr>
        <w:footnoteRef/>
      </w:r>
      <w:r>
        <w:t xml:space="preserve"> Higher Education Bioscience Teacher of the Year Award </w:t>
      </w:r>
      <w:hyperlink r:id="rId1" w:history="1">
        <w:r w:rsidR="00232842" w:rsidRPr="00C775F6">
          <w:rPr>
            <w:rStyle w:val="Hyperlink"/>
          </w:rPr>
          <w:t>http://www.rsb.org.uk/get-involved/awards-and-competitions/he-teacher-of-the-year</w:t>
        </w:r>
      </w:hyperlink>
      <w:r w:rsidR="00232842">
        <w:t xml:space="preserve"> </w:t>
      </w:r>
    </w:p>
  </w:footnote>
  <w:footnote w:id="2">
    <w:p w:rsidR="00E24F98" w:rsidRDefault="00E24F98">
      <w:pPr>
        <w:pStyle w:val="FootnoteText"/>
      </w:pPr>
      <w:r>
        <w:rPr>
          <w:rStyle w:val="FootnoteReference"/>
        </w:rPr>
        <w:footnoteRef/>
      </w:r>
      <w:r>
        <w:t xml:space="preserve"> Chartered status </w:t>
      </w:r>
      <w:hyperlink r:id="rId2" w:history="1">
        <w:r w:rsidR="00232842" w:rsidRPr="00C775F6">
          <w:rPr>
            <w:rStyle w:val="Hyperlink"/>
          </w:rPr>
          <w:t>http://www.rsb.org.uk/careers-and-cpd/registers/chartered</w:t>
        </w:r>
      </w:hyperlink>
      <w:r w:rsidR="00232842">
        <w:t xml:space="preserve"> </w:t>
      </w:r>
    </w:p>
  </w:footnote>
  <w:footnote w:id="3">
    <w:p w:rsidR="00232842" w:rsidRDefault="00232842">
      <w:pPr>
        <w:pStyle w:val="FootnoteText"/>
      </w:pPr>
      <w:r>
        <w:rPr>
          <w:rStyle w:val="FootnoteReference"/>
        </w:rPr>
        <w:footnoteRef/>
      </w:r>
      <w:r>
        <w:t xml:space="preserve"> Professional development </w:t>
      </w:r>
      <w:hyperlink r:id="rId3" w:history="1">
        <w:r w:rsidRPr="00C775F6">
          <w:rPr>
            <w:rStyle w:val="Hyperlink"/>
          </w:rPr>
          <w:t>http://www.rsb.org.uk/careers-and-cpd/cpd</w:t>
        </w:r>
      </w:hyperlink>
      <w:r>
        <w:t xml:space="preserve">; </w:t>
      </w:r>
      <w:hyperlink r:id="rId4" w:history="1">
        <w:r w:rsidR="009E5887" w:rsidRPr="00C775F6">
          <w:rPr>
            <w:rStyle w:val="Hyperlink"/>
          </w:rPr>
          <w:t>http://www.rsb.org.uk/images/RSB_learning_for_life.pdf</w:t>
        </w:r>
      </w:hyperlink>
      <w:r w:rsidR="009E5887">
        <w:t xml:space="preserve"> </w:t>
      </w:r>
    </w:p>
  </w:footnote>
  <w:footnote w:id="4">
    <w:p w:rsidR="00D166F8" w:rsidRDefault="00D166F8">
      <w:pPr>
        <w:pStyle w:val="FootnoteText"/>
      </w:pPr>
      <w:r>
        <w:rPr>
          <w:rStyle w:val="FootnoteReference"/>
        </w:rPr>
        <w:footnoteRef/>
      </w:r>
      <w:r>
        <w:t xml:space="preserve"> Heads of University Biosciences events </w:t>
      </w:r>
      <w:hyperlink r:id="rId5" w:history="1">
        <w:r w:rsidR="009E5887" w:rsidRPr="00C775F6">
          <w:rPr>
            <w:rStyle w:val="Hyperlink"/>
          </w:rPr>
          <w:t>http://www.rsb.org.uk/education/hubs/hubs-news-and-events</w:t>
        </w:r>
      </w:hyperlink>
      <w:r w:rsidR="009E5887">
        <w:t xml:space="preserve"> </w:t>
      </w:r>
    </w:p>
  </w:footnote>
  <w:footnote w:id="5">
    <w:p w:rsidR="00EA53E8" w:rsidRDefault="00EA53E8">
      <w:pPr>
        <w:pStyle w:val="FootnoteText"/>
      </w:pPr>
      <w:r>
        <w:rPr>
          <w:rStyle w:val="FootnoteReference"/>
        </w:rPr>
        <w:footnoteRef/>
      </w:r>
      <w:r>
        <w:t xml:space="preserve">Advanced Accreditation and Degree Accreditation </w:t>
      </w:r>
      <w:hyperlink r:id="rId6" w:history="1">
        <w:r w:rsidR="00232842" w:rsidRPr="00C775F6">
          <w:rPr>
            <w:rStyle w:val="Hyperlink"/>
          </w:rPr>
          <w:t>http://www.rsb.org.uk/education/accreditation</w:t>
        </w:r>
      </w:hyperlink>
      <w:r w:rsidR="0023284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57" w:rsidRDefault="006E6457"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457" w:rsidRDefault="006E6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57" w:rsidRPr="00054E86" w:rsidRDefault="006E6457" w:rsidP="00124B50">
    <w:pPr>
      <w:pStyle w:val="Header"/>
      <w:tabs>
        <w:tab w:val="clear" w:pos="8640"/>
        <w:tab w:val="left" w:pos="7088"/>
      </w:tabs>
      <w:rPr>
        <w:rFonts w:ascii="Arial" w:hAnsi="Arial"/>
        <w:color w:val="052754"/>
        <w:sz w:val="18"/>
      </w:rPr>
    </w:pPr>
    <w:r>
      <w:rPr>
        <w:rFonts w:ascii="Arial" w:hAnsi="Arial"/>
        <w:noProof/>
        <w:sz w:val="18"/>
        <w:lang w:eastAsia="en-GB"/>
      </w:rPr>
      <w:drawing>
        <wp:anchor distT="0" distB="0" distL="114300" distR="114300" simplePos="0" relativeHeight="251657728" behindDoc="0" locked="0" layoutInCell="1" allowOverlap="1">
          <wp:simplePos x="0" y="0"/>
          <wp:positionH relativeFrom="column">
            <wp:posOffset>4495800</wp:posOffset>
          </wp:positionH>
          <wp:positionV relativeFrom="paragraph">
            <wp:posOffset>-191770</wp:posOffset>
          </wp:positionV>
          <wp:extent cx="1716405" cy="748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748030"/>
                  </a:xfrm>
                  <a:prstGeom prst="rect">
                    <a:avLst/>
                  </a:prstGeom>
                </pic:spPr>
              </pic:pic>
            </a:graphicData>
          </a:graphic>
        </wp:anchor>
      </w:drawing>
    </w:r>
    <w:r w:rsidRPr="00054E86">
      <w:rPr>
        <w:rFonts w:ascii="Arial" w:hAnsi="Arial"/>
        <w:sz w:val="18"/>
      </w:rPr>
      <w:tab/>
    </w:r>
    <w:r w:rsidRPr="00054E86">
      <w:rPr>
        <w:rFonts w:ascii="Arial" w:hAnsi="Arial"/>
        <w:sz w:val="18"/>
      </w:rPr>
      <w:tab/>
    </w:r>
  </w:p>
  <w:p w:rsidR="006E6457" w:rsidRPr="00054E86" w:rsidRDefault="006E6457"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57" w:rsidRPr="00054E86" w:rsidRDefault="006E6457"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anchor distT="0" distB="0" distL="114300" distR="114300" simplePos="0" relativeHeight="251656704" behindDoc="0" locked="0" layoutInCell="1" allowOverlap="1">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anchor>
      </w:drawing>
    </w:r>
    <w:r w:rsidRPr="00054E86">
      <w:rPr>
        <w:rFonts w:ascii="Arial" w:hAnsi="Arial"/>
        <w:sz w:val="18"/>
      </w:rPr>
      <w:tab/>
    </w:r>
    <w:r w:rsidRPr="00054E86">
      <w:rPr>
        <w:rFonts w:ascii="Arial" w:hAnsi="Arial"/>
        <w:sz w:val="18"/>
      </w:rPr>
      <w:tab/>
    </w:r>
  </w:p>
  <w:p w:rsidR="006E6457" w:rsidRDefault="00BE2414" w:rsidP="00124B50">
    <w:pPr>
      <w:pStyle w:val="Header"/>
      <w:ind w:left="426"/>
      <w:jc w:val="right"/>
    </w:pPr>
    <w:r>
      <w:rPr>
        <w:rFonts w:ascii="Arial" w:hAnsi="Arial"/>
        <w:noProof/>
        <w:sz w:val="18"/>
        <w:lang w:eastAsia="en-GB"/>
      </w:rPr>
      <mc:AlternateContent>
        <mc:Choice Requires="wps">
          <w:drawing>
            <wp:anchor distT="4294967295" distB="4294967295" distL="114300" distR="114300" simplePos="0" relativeHeight="251658752" behindDoc="1" locked="0" layoutInCell="1" allowOverlap="1">
              <wp:simplePos x="0" y="0"/>
              <wp:positionH relativeFrom="column">
                <wp:posOffset>-51435</wp:posOffset>
              </wp:positionH>
              <wp:positionV relativeFrom="paragraph">
                <wp:posOffset>848359</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66.8pt" to="515.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FE"/>
    <w:multiLevelType w:val="hybridMultilevel"/>
    <w:tmpl w:val="50FC51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A1560"/>
    <w:multiLevelType w:val="hybridMultilevel"/>
    <w:tmpl w:val="4FD2824E"/>
    <w:lvl w:ilvl="0" w:tplc="8ECA629C">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409E3"/>
    <w:multiLevelType w:val="multilevel"/>
    <w:tmpl w:val="FBE400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283F80"/>
    <w:multiLevelType w:val="hybridMultilevel"/>
    <w:tmpl w:val="86F03DBE"/>
    <w:lvl w:ilvl="0" w:tplc="20026334">
      <w:numFmt w:val="bullet"/>
      <w:lvlText w:val=""/>
      <w:lvlJc w:val="left"/>
      <w:pPr>
        <w:ind w:left="2550" w:hanging="39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B6B478B"/>
    <w:multiLevelType w:val="multilevel"/>
    <w:tmpl w:val="C65E8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F4212C"/>
    <w:multiLevelType w:val="multilevel"/>
    <w:tmpl w:val="998C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2D383A"/>
    <w:multiLevelType w:val="multilevel"/>
    <w:tmpl w:val="A2063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4F2D61"/>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8020F9C"/>
    <w:multiLevelType w:val="hybridMultilevel"/>
    <w:tmpl w:val="8872DDA8"/>
    <w:lvl w:ilvl="0" w:tplc="3A86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1B47ECF"/>
    <w:multiLevelType w:val="multilevel"/>
    <w:tmpl w:val="525865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314D7C"/>
    <w:multiLevelType w:val="hybridMultilevel"/>
    <w:tmpl w:val="139CC8E6"/>
    <w:lvl w:ilvl="0" w:tplc="FAA67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74E6D7C"/>
    <w:multiLevelType w:val="multilevel"/>
    <w:tmpl w:val="A2063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82420C"/>
    <w:multiLevelType w:val="multilevel"/>
    <w:tmpl w:val="355C7A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74034FC"/>
    <w:multiLevelType w:val="multilevel"/>
    <w:tmpl w:val="F09671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EA1E73"/>
    <w:multiLevelType w:val="hybridMultilevel"/>
    <w:tmpl w:val="37727ED2"/>
    <w:lvl w:ilvl="0" w:tplc="20026334">
      <w:numFmt w:val="bullet"/>
      <w:lvlText w:val=""/>
      <w:lvlJc w:val="left"/>
      <w:pPr>
        <w:ind w:left="1470" w:hanging="39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5A9751D"/>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B6F9F"/>
    <w:multiLevelType w:val="hybridMultilevel"/>
    <w:tmpl w:val="DA50C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4C52577"/>
    <w:multiLevelType w:val="hybridMultilevel"/>
    <w:tmpl w:val="3490C07A"/>
    <w:lvl w:ilvl="0" w:tplc="BA92F540">
      <w:start w:val="1"/>
      <w:numFmt w:val="decimal"/>
      <w:lvlText w:val="%1."/>
      <w:lvlJc w:val="left"/>
      <w:pPr>
        <w:ind w:left="720"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4F3E6E"/>
    <w:multiLevelType w:val="hybridMultilevel"/>
    <w:tmpl w:val="385A42B4"/>
    <w:lvl w:ilvl="0" w:tplc="A76C5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C5E138F"/>
    <w:multiLevelType w:val="multilevel"/>
    <w:tmpl w:val="F72CE8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0972F0"/>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AF97798"/>
    <w:multiLevelType w:val="hybridMultilevel"/>
    <w:tmpl w:val="94981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E8227CE"/>
    <w:multiLevelType w:val="hybridMultilevel"/>
    <w:tmpl w:val="504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3"/>
  </w:num>
  <w:num w:numId="18">
    <w:abstractNumId w:val="17"/>
  </w:num>
  <w:num w:numId="19">
    <w:abstractNumId w:val="18"/>
  </w:num>
  <w:num w:numId="20">
    <w:abstractNumId w:val="8"/>
  </w:num>
  <w:num w:numId="21">
    <w:abstractNumId w:val="2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25"/>
    <w:rsid w:val="000174CC"/>
    <w:rsid w:val="0004065F"/>
    <w:rsid w:val="00043DC2"/>
    <w:rsid w:val="00047FCB"/>
    <w:rsid w:val="00052105"/>
    <w:rsid w:val="0005457B"/>
    <w:rsid w:val="00062C5B"/>
    <w:rsid w:val="000853BB"/>
    <w:rsid w:val="000A28D9"/>
    <w:rsid w:val="000A331F"/>
    <w:rsid w:val="000B257C"/>
    <w:rsid w:val="000B5F11"/>
    <w:rsid w:val="000C557C"/>
    <w:rsid w:val="000D4EC5"/>
    <w:rsid w:val="000E20A6"/>
    <w:rsid w:val="000E487A"/>
    <w:rsid w:val="000E76E2"/>
    <w:rsid w:val="00106339"/>
    <w:rsid w:val="00114E19"/>
    <w:rsid w:val="00123CCD"/>
    <w:rsid w:val="00124B50"/>
    <w:rsid w:val="00125E39"/>
    <w:rsid w:val="00132C1C"/>
    <w:rsid w:val="00136276"/>
    <w:rsid w:val="00154A4B"/>
    <w:rsid w:val="00162253"/>
    <w:rsid w:val="00162DBE"/>
    <w:rsid w:val="00172D0E"/>
    <w:rsid w:val="00176500"/>
    <w:rsid w:val="00185FA1"/>
    <w:rsid w:val="001B09AD"/>
    <w:rsid w:val="001C2CDC"/>
    <w:rsid w:val="001C4EAD"/>
    <w:rsid w:val="001C718B"/>
    <w:rsid w:val="001E49F0"/>
    <w:rsid w:val="001E5BD7"/>
    <w:rsid w:val="001F2D24"/>
    <w:rsid w:val="001F6744"/>
    <w:rsid w:val="00204EF0"/>
    <w:rsid w:val="0021414E"/>
    <w:rsid w:val="00220682"/>
    <w:rsid w:val="002270A0"/>
    <w:rsid w:val="00232842"/>
    <w:rsid w:val="00233961"/>
    <w:rsid w:val="0024279D"/>
    <w:rsid w:val="00261B00"/>
    <w:rsid w:val="002723A7"/>
    <w:rsid w:val="00272967"/>
    <w:rsid w:val="00276AAA"/>
    <w:rsid w:val="002905FE"/>
    <w:rsid w:val="002A5C25"/>
    <w:rsid w:val="002B1F08"/>
    <w:rsid w:val="002B2C42"/>
    <w:rsid w:val="002B58AF"/>
    <w:rsid w:val="002B5E71"/>
    <w:rsid w:val="002B67E4"/>
    <w:rsid w:val="002C05FB"/>
    <w:rsid w:val="002D4979"/>
    <w:rsid w:val="002E24C0"/>
    <w:rsid w:val="002F20F7"/>
    <w:rsid w:val="002F3DE0"/>
    <w:rsid w:val="0031208D"/>
    <w:rsid w:val="00322E03"/>
    <w:rsid w:val="003245B5"/>
    <w:rsid w:val="00332B4C"/>
    <w:rsid w:val="00333C80"/>
    <w:rsid w:val="00341373"/>
    <w:rsid w:val="00346481"/>
    <w:rsid w:val="00350A6C"/>
    <w:rsid w:val="00360AE5"/>
    <w:rsid w:val="00367C63"/>
    <w:rsid w:val="00370684"/>
    <w:rsid w:val="003722CB"/>
    <w:rsid w:val="00384F4C"/>
    <w:rsid w:val="00386145"/>
    <w:rsid w:val="00395D6A"/>
    <w:rsid w:val="003A2B61"/>
    <w:rsid w:val="003B6F6C"/>
    <w:rsid w:val="003C08F9"/>
    <w:rsid w:val="003C371F"/>
    <w:rsid w:val="003C5F5E"/>
    <w:rsid w:val="00405FCA"/>
    <w:rsid w:val="004132EF"/>
    <w:rsid w:val="00416B50"/>
    <w:rsid w:val="00433904"/>
    <w:rsid w:val="004546E8"/>
    <w:rsid w:val="00455FD3"/>
    <w:rsid w:val="0047428F"/>
    <w:rsid w:val="00475044"/>
    <w:rsid w:val="00482BFC"/>
    <w:rsid w:val="00490CEB"/>
    <w:rsid w:val="004A465B"/>
    <w:rsid w:val="004A6E3B"/>
    <w:rsid w:val="004B5E15"/>
    <w:rsid w:val="004D0579"/>
    <w:rsid w:val="004D36B6"/>
    <w:rsid w:val="004E24FA"/>
    <w:rsid w:val="004F1D14"/>
    <w:rsid w:val="004F5825"/>
    <w:rsid w:val="005109D0"/>
    <w:rsid w:val="0052422B"/>
    <w:rsid w:val="00562377"/>
    <w:rsid w:val="005819A3"/>
    <w:rsid w:val="00586414"/>
    <w:rsid w:val="005A6CFC"/>
    <w:rsid w:val="005B2EF0"/>
    <w:rsid w:val="005D07E3"/>
    <w:rsid w:val="005D3419"/>
    <w:rsid w:val="005D56A7"/>
    <w:rsid w:val="005E56D1"/>
    <w:rsid w:val="00600D36"/>
    <w:rsid w:val="00603DDD"/>
    <w:rsid w:val="006073B6"/>
    <w:rsid w:val="00625A73"/>
    <w:rsid w:val="00632008"/>
    <w:rsid w:val="00665C56"/>
    <w:rsid w:val="006801BB"/>
    <w:rsid w:val="0068023D"/>
    <w:rsid w:val="00680B67"/>
    <w:rsid w:val="00684846"/>
    <w:rsid w:val="00685C04"/>
    <w:rsid w:val="006A2096"/>
    <w:rsid w:val="006A3AAD"/>
    <w:rsid w:val="006B0C34"/>
    <w:rsid w:val="006B5C60"/>
    <w:rsid w:val="006D0970"/>
    <w:rsid w:val="006D4AFB"/>
    <w:rsid w:val="006E6457"/>
    <w:rsid w:val="006F0FBD"/>
    <w:rsid w:val="006F1AB0"/>
    <w:rsid w:val="00707765"/>
    <w:rsid w:val="00713A6E"/>
    <w:rsid w:val="007274E5"/>
    <w:rsid w:val="00734265"/>
    <w:rsid w:val="0074116D"/>
    <w:rsid w:val="0074458F"/>
    <w:rsid w:val="00746369"/>
    <w:rsid w:val="00747C9C"/>
    <w:rsid w:val="007638E4"/>
    <w:rsid w:val="0076593E"/>
    <w:rsid w:val="007666C3"/>
    <w:rsid w:val="00773209"/>
    <w:rsid w:val="0078705C"/>
    <w:rsid w:val="00794989"/>
    <w:rsid w:val="007A7A3C"/>
    <w:rsid w:val="007C08F4"/>
    <w:rsid w:val="007C2665"/>
    <w:rsid w:val="007E65BB"/>
    <w:rsid w:val="0080290B"/>
    <w:rsid w:val="008066C6"/>
    <w:rsid w:val="008110EF"/>
    <w:rsid w:val="00816183"/>
    <w:rsid w:val="0083652D"/>
    <w:rsid w:val="00851573"/>
    <w:rsid w:val="008525D7"/>
    <w:rsid w:val="00860914"/>
    <w:rsid w:val="008674D2"/>
    <w:rsid w:val="008800A4"/>
    <w:rsid w:val="00880DDE"/>
    <w:rsid w:val="00885DA2"/>
    <w:rsid w:val="00885ED7"/>
    <w:rsid w:val="008A2AF0"/>
    <w:rsid w:val="008B1BA5"/>
    <w:rsid w:val="008C73DB"/>
    <w:rsid w:val="008D413A"/>
    <w:rsid w:val="008E2328"/>
    <w:rsid w:val="00905421"/>
    <w:rsid w:val="0092606C"/>
    <w:rsid w:val="009304C5"/>
    <w:rsid w:val="009366C5"/>
    <w:rsid w:val="0094166F"/>
    <w:rsid w:val="00946176"/>
    <w:rsid w:val="0094787A"/>
    <w:rsid w:val="00952014"/>
    <w:rsid w:val="00955362"/>
    <w:rsid w:val="00960576"/>
    <w:rsid w:val="009752F1"/>
    <w:rsid w:val="00992D38"/>
    <w:rsid w:val="00997996"/>
    <w:rsid w:val="009D0859"/>
    <w:rsid w:val="009D0937"/>
    <w:rsid w:val="009E5887"/>
    <w:rsid w:val="009F2484"/>
    <w:rsid w:val="009F5425"/>
    <w:rsid w:val="009F6599"/>
    <w:rsid w:val="009F760A"/>
    <w:rsid w:val="00A12662"/>
    <w:rsid w:val="00A23FE1"/>
    <w:rsid w:val="00A25959"/>
    <w:rsid w:val="00A36C82"/>
    <w:rsid w:val="00A464A1"/>
    <w:rsid w:val="00A528BA"/>
    <w:rsid w:val="00A660A8"/>
    <w:rsid w:val="00A66612"/>
    <w:rsid w:val="00A92147"/>
    <w:rsid w:val="00A92BCB"/>
    <w:rsid w:val="00A95CF7"/>
    <w:rsid w:val="00AA6844"/>
    <w:rsid w:val="00AB0128"/>
    <w:rsid w:val="00AB1302"/>
    <w:rsid w:val="00AB1AC8"/>
    <w:rsid w:val="00AC6EE8"/>
    <w:rsid w:val="00AD2269"/>
    <w:rsid w:val="00AE2CC5"/>
    <w:rsid w:val="00AE5AA7"/>
    <w:rsid w:val="00AE7E41"/>
    <w:rsid w:val="00B05E4C"/>
    <w:rsid w:val="00B05E8E"/>
    <w:rsid w:val="00B10B7D"/>
    <w:rsid w:val="00B230AA"/>
    <w:rsid w:val="00B47906"/>
    <w:rsid w:val="00B51D31"/>
    <w:rsid w:val="00B5204C"/>
    <w:rsid w:val="00B8258E"/>
    <w:rsid w:val="00B84529"/>
    <w:rsid w:val="00B861A3"/>
    <w:rsid w:val="00B97AF2"/>
    <w:rsid w:val="00BA543F"/>
    <w:rsid w:val="00BD5205"/>
    <w:rsid w:val="00BE2414"/>
    <w:rsid w:val="00BE3EA5"/>
    <w:rsid w:val="00BF5002"/>
    <w:rsid w:val="00C30328"/>
    <w:rsid w:val="00C30AB0"/>
    <w:rsid w:val="00C40DE1"/>
    <w:rsid w:val="00C42D94"/>
    <w:rsid w:val="00C43BDF"/>
    <w:rsid w:val="00C46708"/>
    <w:rsid w:val="00C5127A"/>
    <w:rsid w:val="00C74625"/>
    <w:rsid w:val="00C76B02"/>
    <w:rsid w:val="00C8634C"/>
    <w:rsid w:val="00C90B7D"/>
    <w:rsid w:val="00CA36B0"/>
    <w:rsid w:val="00CA4BEF"/>
    <w:rsid w:val="00CA72C7"/>
    <w:rsid w:val="00CB1573"/>
    <w:rsid w:val="00CB66AA"/>
    <w:rsid w:val="00CD0017"/>
    <w:rsid w:val="00CD5CA1"/>
    <w:rsid w:val="00CE29EA"/>
    <w:rsid w:val="00CE452C"/>
    <w:rsid w:val="00CF121E"/>
    <w:rsid w:val="00D12582"/>
    <w:rsid w:val="00D14585"/>
    <w:rsid w:val="00D166F8"/>
    <w:rsid w:val="00D33179"/>
    <w:rsid w:val="00D35FC3"/>
    <w:rsid w:val="00D569B5"/>
    <w:rsid w:val="00D57456"/>
    <w:rsid w:val="00D615CD"/>
    <w:rsid w:val="00D66747"/>
    <w:rsid w:val="00D80178"/>
    <w:rsid w:val="00D81EE1"/>
    <w:rsid w:val="00D848D9"/>
    <w:rsid w:val="00D86EDE"/>
    <w:rsid w:val="00D91D54"/>
    <w:rsid w:val="00D96302"/>
    <w:rsid w:val="00DA40EB"/>
    <w:rsid w:val="00DB3FE0"/>
    <w:rsid w:val="00DB604F"/>
    <w:rsid w:val="00DC6108"/>
    <w:rsid w:val="00DD49F2"/>
    <w:rsid w:val="00DE4893"/>
    <w:rsid w:val="00DE4BE4"/>
    <w:rsid w:val="00DF36A6"/>
    <w:rsid w:val="00E02708"/>
    <w:rsid w:val="00E0331D"/>
    <w:rsid w:val="00E067E3"/>
    <w:rsid w:val="00E078DE"/>
    <w:rsid w:val="00E22966"/>
    <w:rsid w:val="00E24F98"/>
    <w:rsid w:val="00E43D6D"/>
    <w:rsid w:val="00E43EDC"/>
    <w:rsid w:val="00E55CDD"/>
    <w:rsid w:val="00E64B8D"/>
    <w:rsid w:val="00E713AE"/>
    <w:rsid w:val="00EA0123"/>
    <w:rsid w:val="00EA4EA6"/>
    <w:rsid w:val="00EA53E8"/>
    <w:rsid w:val="00EC45F0"/>
    <w:rsid w:val="00EC5B31"/>
    <w:rsid w:val="00ED18E6"/>
    <w:rsid w:val="00ED3DA7"/>
    <w:rsid w:val="00EE0F48"/>
    <w:rsid w:val="00EE7998"/>
    <w:rsid w:val="00F1379F"/>
    <w:rsid w:val="00F177FB"/>
    <w:rsid w:val="00F21CAE"/>
    <w:rsid w:val="00F21E79"/>
    <w:rsid w:val="00F30C0C"/>
    <w:rsid w:val="00F32EA6"/>
    <w:rsid w:val="00F33494"/>
    <w:rsid w:val="00F377CB"/>
    <w:rsid w:val="00F40570"/>
    <w:rsid w:val="00F42946"/>
    <w:rsid w:val="00F42FC1"/>
    <w:rsid w:val="00F505F0"/>
    <w:rsid w:val="00F52F48"/>
    <w:rsid w:val="00F5466F"/>
    <w:rsid w:val="00F569D1"/>
    <w:rsid w:val="00F64BC4"/>
    <w:rsid w:val="00F7326D"/>
    <w:rsid w:val="00F77589"/>
    <w:rsid w:val="00F84473"/>
    <w:rsid w:val="00F960E7"/>
    <w:rsid w:val="00FA4CFD"/>
    <w:rsid w:val="00FA76DA"/>
    <w:rsid w:val="00FB161D"/>
    <w:rsid w:val="00FB3C02"/>
    <w:rsid w:val="00FC2181"/>
    <w:rsid w:val="00FC3A37"/>
    <w:rsid w:val="00FD1A53"/>
    <w:rsid w:val="00FE617F"/>
    <w:rsid w:val="00FF0123"/>
    <w:rsid w:val="00FF10CF"/>
    <w:rsid w:val="00FF5871"/>
    <w:rsid w:val="00FF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fefe,#b1e1c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F5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F5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character" w:customStyle="1" w:styleId="Heading2Char">
    <w:name w:val="Heading 2 Char"/>
    <w:basedOn w:val="DefaultParagraphFont"/>
    <w:link w:val="Heading2"/>
    <w:semiHidden/>
    <w:rsid w:val="004F5825"/>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4F5825"/>
    <w:rPr>
      <w:rFonts w:asciiTheme="majorHAnsi" w:eastAsiaTheme="majorEastAsia" w:hAnsiTheme="majorHAnsi" w:cstheme="majorBidi"/>
      <w:b/>
      <w:bCs/>
      <w:color w:val="365F91" w:themeColor="accent1" w:themeShade="BF"/>
      <w:sz w:val="28"/>
      <w:szCs w:val="28"/>
      <w:lang w:eastAsia="en-US"/>
    </w:rPr>
  </w:style>
  <w:style w:type="paragraph" w:customStyle="1" w:styleId="Ofqualbodytext">
    <w:name w:val="Ofqual body text"/>
    <w:basedOn w:val="Normal"/>
    <w:link w:val="OfqualbodytextChar"/>
    <w:qFormat/>
    <w:rsid w:val="004F5825"/>
    <w:pPr>
      <w:tabs>
        <w:tab w:val="right" w:pos="9120"/>
      </w:tabs>
      <w:spacing w:after="240" w:line="320" w:lineRule="atLeast"/>
    </w:pPr>
    <w:rPr>
      <w:rFonts w:ascii="Arial" w:eastAsia="Times New Roman" w:hAnsi="Arial" w:cs="Times New Roman"/>
      <w:sz w:val="24"/>
      <w:szCs w:val="20"/>
      <w:lang w:eastAsia="en-GB"/>
    </w:rPr>
  </w:style>
  <w:style w:type="paragraph" w:customStyle="1" w:styleId="Question">
    <w:name w:val="Question"/>
    <w:basedOn w:val="Ofqualbodytext"/>
    <w:next w:val="Ofqualbodytext"/>
    <w:qFormat/>
    <w:rsid w:val="004F5825"/>
    <w:pPr>
      <w:tabs>
        <w:tab w:val="left" w:pos="426"/>
      </w:tabs>
      <w:spacing w:before="360" w:after="120"/>
    </w:pPr>
    <w:rPr>
      <w:b/>
    </w:rPr>
  </w:style>
  <w:style w:type="character" w:customStyle="1" w:styleId="OfqualbodytextChar">
    <w:name w:val="Ofqual body text Char"/>
    <w:link w:val="Ofqualbodytext"/>
    <w:rsid w:val="004F5825"/>
    <w:rPr>
      <w:rFonts w:ascii="Arial" w:hAnsi="Arial"/>
      <w:sz w:val="24"/>
    </w:rPr>
  </w:style>
  <w:style w:type="paragraph" w:styleId="NormalWeb">
    <w:name w:val="Normal (Web)"/>
    <w:basedOn w:val="Normal"/>
    <w:uiPriority w:val="99"/>
    <w:unhideWhenUsed/>
    <w:rsid w:val="004F58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ffiletext">
    <w:name w:val="wf_file_text"/>
    <w:rsid w:val="00E22966"/>
  </w:style>
  <w:style w:type="paragraph" w:customStyle="1" w:styleId="Default">
    <w:name w:val="Default"/>
    <w:rsid w:val="00395D6A"/>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569B5"/>
  </w:style>
  <w:style w:type="character" w:styleId="CommentReference">
    <w:name w:val="annotation reference"/>
    <w:basedOn w:val="DefaultParagraphFont"/>
    <w:rsid w:val="00482BFC"/>
    <w:rPr>
      <w:sz w:val="18"/>
      <w:szCs w:val="18"/>
    </w:rPr>
  </w:style>
  <w:style w:type="paragraph" w:styleId="CommentText">
    <w:name w:val="annotation text"/>
    <w:basedOn w:val="Normal"/>
    <w:link w:val="CommentTextChar"/>
    <w:rsid w:val="00482BFC"/>
    <w:pPr>
      <w:spacing w:line="240" w:lineRule="auto"/>
    </w:pPr>
    <w:rPr>
      <w:sz w:val="24"/>
      <w:szCs w:val="24"/>
    </w:rPr>
  </w:style>
  <w:style w:type="character" w:customStyle="1" w:styleId="CommentTextChar">
    <w:name w:val="Comment Text Char"/>
    <w:basedOn w:val="DefaultParagraphFont"/>
    <w:link w:val="CommentText"/>
    <w:rsid w:val="00482BFC"/>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rsid w:val="00482BFC"/>
    <w:rPr>
      <w:b/>
      <w:bCs/>
      <w:sz w:val="20"/>
      <w:szCs w:val="20"/>
    </w:rPr>
  </w:style>
  <w:style w:type="character" w:customStyle="1" w:styleId="CommentSubjectChar">
    <w:name w:val="Comment Subject Char"/>
    <w:basedOn w:val="CommentTextChar"/>
    <w:link w:val="CommentSubject"/>
    <w:rsid w:val="00482BFC"/>
    <w:rPr>
      <w:rFonts w:asciiTheme="minorHAnsi" w:eastAsiaTheme="minorHAnsi" w:hAnsiTheme="minorHAnsi" w:cstheme="minorBidi"/>
      <w:b/>
      <w:bCs/>
      <w:sz w:val="24"/>
      <w:szCs w:val="24"/>
      <w:lang w:eastAsia="en-US"/>
    </w:rPr>
  </w:style>
  <w:style w:type="paragraph" w:styleId="FootnoteText">
    <w:name w:val="footnote text"/>
    <w:basedOn w:val="Normal"/>
    <w:link w:val="FootnoteTextChar"/>
    <w:rsid w:val="00E24F98"/>
    <w:pPr>
      <w:spacing w:after="0" w:line="240" w:lineRule="auto"/>
    </w:pPr>
    <w:rPr>
      <w:sz w:val="20"/>
      <w:szCs w:val="20"/>
    </w:rPr>
  </w:style>
  <w:style w:type="character" w:customStyle="1" w:styleId="FootnoteTextChar">
    <w:name w:val="Footnote Text Char"/>
    <w:basedOn w:val="DefaultParagraphFont"/>
    <w:link w:val="FootnoteText"/>
    <w:rsid w:val="00E24F98"/>
    <w:rPr>
      <w:rFonts w:asciiTheme="minorHAnsi" w:eastAsiaTheme="minorHAnsi" w:hAnsiTheme="minorHAnsi" w:cstheme="minorBidi"/>
      <w:lang w:eastAsia="en-US"/>
    </w:rPr>
  </w:style>
  <w:style w:type="character" w:styleId="FootnoteReference">
    <w:name w:val="footnote reference"/>
    <w:basedOn w:val="DefaultParagraphFont"/>
    <w:rsid w:val="00E24F98"/>
    <w:rPr>
      <w:vertAlign w:val="superscript"/>
    </w:rPr>
  </w:style>
  <w:style w:type="paragraph" w:styleId="Revision">
    <w:name w:val="Revision"/>
    <w:hidden/>
    <w:uiPriority w:val="99"/>
    <w:semiHidden/>
    <w:rsid w:val="00DA40E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F5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F5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character" w:customStyle="1" w:styleId="Heading2Char">
    <w:name w:val="Heading 2 Char"/>
    <w:basedOn w:val="DefaultParagraphFont"/>
    <w:link w:val="Heading2"/>
    <w:semiHidden/>
    <w:rsid w:val="004F5825"/>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4F5825"/>
    <w:rPr>
      <w:rFonts w:asciiTheme="majorHAnsi" w:eastAsiaTheme="majorEastAsia" w:hAnsiTheme="majorHAnsi" w:cstheme="majorBidi"/>
      <w:b/>
      <w:bCs/>
      <w:color w:val="365F91" w:themeColor="accent1" w:themeShade="BF"/>
      <w:sz w:val="28"/>
      <w:szCs w:val="28"/>
      <w:lang w:eastAsia="en-US"/>
    </w:rPr>
  </w:style>
  <w:style w:type="paragraph" w:customStyle="1" w:styleId="Ofqualbodytext">
    <w:name w:val="Ofqual body text"/>
    <w:basedOn w:val="Normal"/>
    <w:link w:val="OfqualbodytextChar"/>
    <w:qFormat/>
    <w:rsid w:val="004F5825"/>
    <w:pPr>
      <w:tabs>
        <w:tab w:val="right" w:pos="9120"/>
      </w:tabs>
      <w:spacing w:after="240" w:line="320" w:lineRule="atLeast"/>
    </w:pPr>
    <w:rPr>
      <w:rFonts w:ascii="Arial" w:eastAsia="Times New Roman" w:hAnsi="Arial" w:cs="Times New Roman"/>
      <w:sz w:val="24"/>
      <w:szCs w:val="20"/>
      <w:lang w:eastAsia="en-GB"/>
    </w:rPr>
  </w:style>
  <w:style w:type="paragraph" w:customStyle="1" w:styleId="Question">
    <w:name w:val="Question"/>
    <w:basedOn w:val="Ofqualbodytext"/>
    <w:next w:val="Ofqualbodytext"/>
    <w:qFormat/>
    <w:rsid w:val="004F5825"/>
    <w:pPr>
      <w:tabs>
        <w:tab w:val="left" w:pos="426"/>
      </w:tabs>
      <w:spacing w:before="360" w:after="120"/>
    </w:pPr>
    <w:rPr>
      <w:b/>
    </w:rPr>
  </w:style>
  <w:style w:type="character" w:customStyle="1" w:styleId="OfqualbodytextChar">
    <w:name w:val="Ofqual body text Char"/>
    <w:link w:val="Ofqualbodytext"/>
    <w:rsid w:val="004F5825"/>
    <w:rPr>
      <w:rFonts w:ascii="Arial" w:hAnsi="Arial"/>
      <w:sz w:val="24"/>
    </w:rPr>
  </w:style>
  <w:style w:type="paragraph" w:styleId="NormalWeb">
    <w:name w:val="Normal (Web)"/>
    <w:basedOn w:val="Normal"/>
    <w:uiPriority w:val="99"/>
    <w:unhideWhenUsed/>
    <w:rsid w:val="004F58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ffiletext">
    <w:name w:val="wf_file_text"/>
    <w:rsid w:val="00E22966"/>
  </w:style>
  <w:style w:type="paragraph" w:customStyle="1" w:styleId="Default">
    <w:name w:val="Default"/>
    <w:rsid w:val="00395D6A"/>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569B5"/>
  </w:style>
  <w:style w:type="character" w:styleId="CommentReference">
    <w:name w:val="annotation reference"/>
    <w:basedOn w:val="DefaultParagraphFont"/>
    <w:rsid w:val="00482BFC"/>
    <w:rPr>
      <w:sz w:val="18"/>
      <w:szCs w:val="18"/>
    </w:rPr>
  </w:style>
  <w:style w:type="paragraph" w:styleId="CommentText">
    <w:name w:val="annotation text"/>
    <w:basedOn w:val="Normal"/>
    <w:link w:val="CommentTextChar"/>
    <w:rsid w:val="00482BFC"/>
    <w:pPr>
      <w:spacing w:line="240" w:lineRule="auto"/>
    </w:pPr>
    <w:rPr>
      <w:sz w:val="24"/>
      <w:szCs w:val="24"/>
    </w:rPr>
  </w:style>
  <w:style w:type="character" w:customStyle="1" w:styleId="CommentTextChar">
    <w:name w:val="Comment Text Char"/>
    <w:basedOn w:val="DefaultParagraphFont"/>
    <w:link w:val="CommentText"/>
    <w:rsid w:val="00482BFC"/>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rsid w:val="00482BFC"/>
    <w:rPr>
      <w:b/>
      <w:bCs/>
      <w:sz w:val="20"/>
      <w:szCs w:val="20"/>
    </w:rPr>
  </w:style>
  <w:style w:type="character" w:customStyle="1" w:styleId="CommentSubjectChar">
    <w:name w:val="Comment Subject Char"/>
    <w:basedOn w:val="CommentTextChar"/>
    <w:link w:val="CommentSubject"/>
    <w:rsid w:val="00482BFC"/>
    <w:rPr>
      <w:rFonts w:asciiTheme="minorHAnsi" w:eastAsiaTheme="minorHAnsi" w:hAnsiTheme="minorHAnsi" w:cstheme="minorBidi"/>
      <w:b/>
      <w:bCs/>
      <w:sz w:val="24"/>
      <w:szCs w:val="24"/>
      <w:lang w:eastAsia="en-US"/>
    </w:rPr>
  </w:style>
  <w:style w:type="paragraph" w:styleId="FootnoteText">
    <w:name w:val="footnote text"/>
    <w:basedOn w:val="Normal"/>
    <w:link w:val="FootnoteTextChar"/>
    <w:rsid w:val="00E24F98"/>
    <w:pPr>
      <w:spacing w:after="0" w:line="240" w:lineRule="auto"/>
    </w:pPr>
    <w:rPr>
      <w:sz w:val="20"/>
      <w:szCs w:val="20"/>
    </w:rPr>
  </w:style>
  <w:style w:type="character" w:customStyle="1" w:styleId="FootnoteTextChar">
    <w:name w:val="Footnote Text Char"/>
    <w:basedOn w:val="DefaultParagraphFont"/>
    <w:link w:val="FootnoteText"/>
    <w:rsid w:val="00E24F98"/>
    <w:rPr>
      <w:rFonts w:asciiTheme="minorHAnsi" w:eastAsiaTheme="minorHAnsi" w:hAnsiTheme="minorHAnsi" w:cstheme="minorBidi"/>
      <w:lang w:eastAsia="en-US"/>
    </w:rPr>
  </w:style>
  <w:style w:type="character" w:styleId="FootnoteReference">
    <w:name w:val="footnote reference"/>
    <w:basedOn w:val="DefaultParagraphFont"/>
    <w:rsid w:val="00E24F98"/>
    <w:rPr>
      <w:vertAlign w:val="superscript"/>
    </w:rPr>
  </w:style>
  <w:style w:type="paragraph" w:styleId="Revision">
    <w:name w:val="Revision"/>
    <w:hidden/>
    <w:uiPriority w:val="99"/>
    <w:semiHidden/>
    <w:rsid w:val="00DA40E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9559">
      <w:bodyDiv w:val="1"/>
      <w:marLeft w:val="0"/>
      <w:marRight w:val="0"/>
      <w:marTop w:val="0"/>
      <w:marBottom w:val="0"/>
      <w:divBdr>
        <w:top w:val="none" w:sz="0" w:space="0" w:color="auto"/>
        <w:left w:val="none" w:sz="0" w:space="0" w:color="auto"/>
        <w:bottom w:val="none" w:sz="0" w:space="0" w:color="auto"/>
        <w:right w:val="none" w:sz="0" w:space="0" w:color="auto"/>
      </w:divBdr>
    </w:div>
    <w:div w:id="257253552">
      <w:bodyDiv w:val="1"/>
      <w:marLeft w:val="0"/>
      <w:marRight w:val="0"/>
      <w:marTop w:val="0"/>
      <w:marBottom w:val="0"/>
      <w:divBdr>
        <w:top w:val="none" w:sz="0" w:space="0" w:color="auto"/>
        <w:left w:val="none" w:sz="0" w:space="0" w:color="auto"/>
        <w:bottom w:val="none" w:sz="0" w:space="0" w:color="auto"/>
        <w:right w:val="none" w:sz="0" w:space="0" w:color="auto"/>
      </w:divBdr>
      <w:divsChild>
        <w:div w:id="1889956569">
          <w:marLeft w:val="0"/>
          <w:marRight w:val="0"/>
          <w:marTop w:val="0"/>
          <w:marBottom w:val="0"/>
          <w:divBdr>
            <w:top w:val="none" w:sz="0" w:space="0" w:color="auto"/>
            <w:left w:val="none" w:sz="0" w:space="0" w:color="auto"/>
            <w:bottom w:val="none" w:sz="0" w:space="0" w:color="auto"/>
            <w:right w:val="none" w:sz="0" w:space="0" w:color="auto"/>
          </w:divBdr>
          <w:divsChild>
            <w:div w:id="5496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710">
      <w:bodyDiv w:val="1"/>
      <w:marLeft w:val="0"/>
      <w:marRight w:val="0"/>
      <w:marTop w:val="0"/>
      <w:marBottom w:val="0"/>
      <w:divBdr>
        <w:top w:val="none" w:sz="0" w:space="0" w:color="auto"/>
        <w:left w:val="none" w:sz="0" w:space="0" w:color="auto"/>
        <w:bottom w:val="none" w:sz="0" w:space="0" w:color="auto"/>
        <w:right w:val="none" w:sz="0" w:space="0" w:color="auto"/>
      </w:divBdr>
    </w:div>
    <w:div w:id="597641422">
      <w:bodyDiv w:val="1"/>
      <w:marLeft w:val="0"/>
      <w:marRight w:val="0"/>
      <w:marTop w:val="0"/>
      <w:marBottom w:val="0"/>
      <w:divBdr>
        <w:top w:val="none" w:sz="0" w:space="0" w:color="auto"/>
        <w:left w:val="none" w:sz="0" w:space="0" w:color="auto"/>
        <w:bottom w:val="none" w:sz="0" w:space="0" w:color="auto"/>
        <w:right w:val="none" w:sz="0" w:space="0" w:color="auto"/>
      </w:divBdr>
      <w:divsChild>
        <w:div w:id="1839154707">
          <w:marLeft w:val="0"/>
          <w:marRight w:val="0"/>
          <w:marTop w:val="0"/>
          <w:marBottom w:val="0"/>
          <w:divBdr>
            <w:top w:val="none" w:sz="0" w:space="0" w:color="auto"/>
            <w:left w:val="none" w:sz="0" w:space="0" w:color="auto"/>
            <w:bottom w:val="none" w:sz="0" w:space="0" w:color="auto"/>
            <w:right w:val="none" w:sz="0" w:space="0" w:color="auto"/>
          </w:divBdr>
          <w:divsChild>
            <w:div w:id="3109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882719282">
      <w:bodyDiv w:val="1"/>
      <w:marLeft w:val="0"/>
      <w:marRight w:val="0"/>
      <w:marTop w:val="0"/>
      <w:marBottom w:val="0"/>
      <w:divBdr>
        <w:top w:val="none" w:sz="0" w:space="0" w:color="auto"/>
        <w:left w:val="none" w:sz="0" w:space="0" w:color="auto"/>
        <w:bottom w:val="none" w:sz="0" w:space="0" w:color="auto"/>
        <w:right w:val="none" w:sz="0" w:space="0" w:color="auto"/>
      </w:divBdr>
    </w:div>
    <w:div w:id="986395587">
      <w:bodyDiv w:val="1"/>
      <w:marLeft w:val="0"/>
      <w:marRight w:val="0"/>
      <w:marTop w:val="0"/>
      <w:marBottom w:val="0"/>
      <w:divBdr>
        <w:top w:val="none" w:sz="0" w:space="0" w:color="auto"/>
        <w:left w:val="none" w:sz="0" w:space="0" w:color="auto"/>
        <w:bottom w:val="none" w:sz="0" w:space="0" w:color="auto"/>
        <w:right w:val="none" w:sz="0" w:space="0" w:color="auto"/>
      </w:divBdr>
    </w:div>
    <w:div w:id="1009605781">
      <w:bodyDiv w:val="1"/>
      <w:marLeft w:val="0"/>
      <w:marRight w:val="0"/>
      <w:marTop w:val="0"/>
      <w:marBottom w:val="0"/>
      <w:divBdr>
        <w:top w:val="none" w:sz="0" w:space="0" w:color="auto"/>
        <w:left w:val="none" w:sz="0" w:space="0" w:color="auto"/>
        <w:bottom w:val="none" w:sz="0" w:space="0" w:color="auto"/>
        <w:right w:val="none" w:sz="0" w:space="0" w:color="auto"/>
      </w:divBdr>
    </w:div>
    <w:div w:id="1117791825">
      <w:bodyDiv w:val="1"/>
      <w:marLeft w:val="0"/>
      <w:marRight w:val="0"/>
      <w:marTop w:val="0"/>
      <w:marBottom w:val="0"/>
      <w:divBdr>
        <w:top w:val="none" w:sz="0" w:space="0" w:color="auto"/>
        <w:left w:val="none" w:sz="0" w:space="0" w:color="auto"/>
        <w:bottom w:val="none" w:sz="0" w:space="0" w:color="auto"/>
        <w:right w:val="none" w:sz="0" w:space="0" w:color="auto"/>
      </w:divBdr>
    </w:div>
    <w:div w:id="1404572657">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 w:id="1635483481">
      <w:bodyDiv w:val="1"/>
      <w:marLeft w:val="0"/>
      <w:marRight w:val="0"/>
      <w:marTop w:val="0"/>
      <w:marBottom w:val="0"/>
      <w:divBdr>
        <w:top w:val="none" w:sz="0" w:space="0" w:color="auto"/>
        <w:left w:val="none" w:sz="0" w:space="0" w:color="auto"/>
        <w:bottom w:val="none" w:sz="0" w:space="0" w:color="auto"/>
        <w:right w:val="none" w:sz="0" w:space="0" w:color="auto"/>
      </w:divBdr>
    </w:div>
    <w:div w:id="1908763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sb.org.uk/careers-and-cpd/cpd" TargetMode="External"/><Relationship Id="rId2" Type="http://schemas.openxmlformats.org/officeDocument/2006/relationships/hyperlink" Target="http://www.rsb.org.uk/careers-and-cpd/registers/chartered" TargetMode="External"/><Relationship Id="rId1" Type="http://schemas.openxmlformats.org/officeDocument/2006/relationships/hyperlink" Target="http://www.rsb.org.uk/get-involved/awards-and-competitions/he-teacher-of-the-year" TargetMode="External"/><Relationship Id="rId6" Type="http://schemas.openxmlformats.org/officeDocument/2006/relationships/hyperlink" Target="http://www.rsb.org.uk/education/accreditation" TargetMode="External"/><Relationship Id="rId5" Type="http://schemas.openxmlformats.org/officeDocument/2006/relationships/hyperlink" Target="http://www.rsb.org.uk/education/hubs/hubs-news-and-events" TargetMode="External"/><Relationship Id="rId4" Type="http://schemas.openxmlformats.org/officeDocument/2006/relationships/hyperlink" Target="http://www.rsb.org.uk/images/RSB_learning_for_lif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ox\AppData\Local\Microsoft\Windows\Temporary%20Internet%20Files\Content.Outlook\3XE6VBQO\RSB%20template%20education%20prior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12F0-09A1-46E9-8008-F75D00F4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RSB template education priorities.dotx</Template>
  <TotalTime>0</TotalTime>
  <Pages>7</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RSB</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RSB</dc:creator>
  <cp:lastModifiedBy>Sarah Cox</cp:lastModifiedBy>
  <cp:revision>2</cp:revision>
  <cp:lastPrinted>2015-10-27T16:58:00Z</cp:lastPrinted>
  <dcterms:created xsi:type="dcterms:W3CDTF">2015-11-02T13:45:00Z</dcterms:created>
  <dcterms:modified xsi:type="dcterms:W3CDTF">2015-11-02T13:45:00Z</dcterms:modified>
</cp:coreProperties>
</file>