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8BA" w:rsidRDefault="00A528BA" w:rsidP="00A528BA">
      <w:pPr>
        <w:rPr>
          <w:rFonts w:ascii="Arial" w:hAnsi="Arial" w:cs="Arial"/>
          <w:b/>
          <w:sz w:val="20"/>
          <w:szCs w:val="20"/>
        </w:rPr>
      </w:pPr>
    </w:p>
    <w:p w:rsidR="00BB13C4" w:rsidRDefault="00BB13C4" w:rsidP="00E43D6D">
      <w:pPr>
        <w:rPr>
          <w:rFonts w:ascii="Arial" w:hAnsi="Arial" w:cs="Arial"/>
          <w:b/>
        </w:rPr>
      </w:pPr>
    </w:p>
    <w:p w:rsidR="00BB13C4" w:rsidRDefault="00BB13C4" w:rsidP="00BB13C4">
      <w:pPr>
        <w:jc w:val="center"/>
        <w:rPr>
          <w:rFonts w:ascii="Helvetica Neue" w:hAnsi="Helvetica Neue" w:cs="Calibri"/>
          <w:b/>
        </w:rPr>
      </w:pPr>
    </w:p>
    <w:p w:rsidR="00F714AE" w:rsidRDefault="0094259E" w:rsidP="00F714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bCs/>
          <w:color w:val="212121"/>
          <w:lang w:eastAsia="en-GB"/>
        </w:rPr>
      </w:pPr>
      <w:r>
        <w:rPr>
          <w:rFonts w:ascii="Arial" w:eastAsia="Times New Roman" w:hAnsi="Arial" w:cs="Arial"/>
          <w:b/>
          <w:bCs/>
          <w:color w:val="212121"/>
          <w:lang w:eastAsia="en-GB"/>
        </w:rPr>
        <w:t>Royal Society of Biology response to t</w:t>
      </w:r>
      <w:r w:rsidR="00CC0C0C">
        <w:rPr>
          <w:rFonts w:ascii="Arial" w:eastAsia="Times New Roman" w:hAnsi="Arial" w:cs="Arial"/>
          <w:b/>
          <w:bCs/>
          <w:color w:val="212121"/>
          <w:lang w:eastAsia="en-GB"/>
        </w:rPr>
        <w:t>he consultation on the Bios</w:t>
      </w:r>
      <w:r>
        <w:rPr>
          <w:rFonts w:ascii="Arial" w:eastAsia="Times New Roman" w:hAnsi="Arial" w:cs="Arial"/>
          <w:b/>
          <w:bCs/>
          <w:color w:val="212121"/>
          <w:lang w:eastAsia="en-GB"/>
        </w:rPr>
        <w:t>ciences Benchmark</w:t>
      </w:r>
    </w:p>
    <w:p w:rsidR="0094259E" w:rsidRDefault="00F714AE" w:rsidP="00F714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bCs/>
          <w:color w:val="212121"/>
          <w:lang w:eastAsia="en-GB"/>
        </w:rPr>
      </w:pPr>
      <w:r>
        <w:rPr>
          <w:rFonts w:ascii="Arial" w:eastAsia="Times New Roman" w:hAnsi="Arial" w:cs="Arial"/>
          <w:b/>
          <w:bCs/>
          <w:color w:val="212121"/>
          <w:lang w:eastAsia="en-GB"/>
        </w:rPr>
        <w:t>20</w:t>
      </w:r>
      <w:r w:rsidRPr="00F714AE">
        <w:rPr>
          <w:rFonts w:ascii="Arial" w:eastAsia="Times New Roman" w:hAnsi="Arial" w:cs="Arial"/>
          <w:b/>
          <w:bCs/>
          <w:color w:val="212121"/>
          <w:vertAlign w:val="superscript"/>
          <w:lang w:eastAsia="en-GB"/>
        </w:rPr>
        <w:t>th</w:t>
      </w:r>
      <w:r>
        <w:rPr>
          <w:rFonts w:ascii="Arial" w:eastAsia="Times New Roman" w:hAnsi="Arial" w:cs="Arial"/>
          <w:b/>
          <w:bCs/>
          <w:color w:val="212121"/>
          <w:lang w:eastAsia="en-GB"/>
        </w:rPr>
        <w:t xml:space="preserve"> August 2015</w:t>
      </w:r>
    </w:p>
    <w:p w:rsidR="0094259E" w:rsidRDefault="0094259E" w:rsidP="009425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color w:val="212121"/>
          <w:lang w:eastAsia="en-GB"/>
        </w:rPr>
      </w:pPr>
    </w:p>
    <w:p w:rsidR="00CC0C0C" w:rsidRDefault="00CC0C0C" w:rsidP="00CC0C0C">
      <w:pPr>
        <w:shd w:val="clear" w:color="auto" w:fill="FFFFFF"/>
        <w:rPr>
          <w:rFonts w:ascii="Courier New" w:hAnsi="Courier New" w:cs="Courier New"/>
          <w:color w:val="212121"/>
          <w:sz w:val="23"/>
          <w:szCs w:val="23"/>
          <w:lang w:eastAsia="en-GB"/>
        </w:rPr>
      </w:pPr>
      <w:r>
        <w:rPr>
          <w:rFonts w:ascii="Arial" w:hAnsi="Arial" w:cs="Arial"/>
          <w:b/>
          <w:bCs/>
          <w:lang w:eastAsia="en-GB"/>
        </w:rPr>
        <w:t xml:space="preserve">Overall, does </w:t>
      </w:r>
      <w:r>
        <w:rPr>
          <w:rFonts w:ascii="Arial" w:hAnsi="Arial" w:cs="Arial"/>
          <w:b/>
          <w:bCs/>
          <w:color w:val="212121"/>
          <w:lang w:eastAsia="en-GB"/>
        </w:rPr>
        <w:t>the revised subject benchmark statement continue to define the nature of the subject area and academic standards expected of graduates in the subject?</w:t>
      </w:r>
    </w:p>
    <w:p w:rsidR="00CC0C0C" w:rsidRDefault="00CC0C0C" w:rsidP="00CC0C0C">
      <w:pPr>
        <w:shd w:val="clear" w:color="auto" w:fill="FFFFFF"/>
        <w:rPr>
          <w:rFonts w:ascii="Segoe UI" w:hAnsi="Segoe UI" w:cs="Segoe UI"/>
          <w:color w:val="212121"/>
          <w:sz w:val="23"/>
          <w:szCs w:val="23"/>
          <w:lang w:eastAsia="en-GB"/>
        </w:rPr>
      </w:pPr>
      <w:r>
        <w:rPr>
          <w:rFonts w:ascii="Arial" w:hAnsi="Arial" w:cs="Arial"/>
          <w:color w:val="212121"/>
          <w:u w:val="single"/>
          <w:lang w:eastAsia="en-GB"/>
        </w:rPr>
        <w:t>Yes</w:t>
      </w:r>
    </w:p>
    <w:p w:rsidR="00CC0C0C" w:rsidRDefault="00CC0C0C" w:rsidP="00CC0C0C">
      <w:pPr>
        <w:shd w:val="clear" w:color="auto" w:fill="FFFFFF"/>
        <w:rPr>
          <w:rFonts w:ascii="Segoe UI" w:hAnsi="Segoe UI" w:cs="Segoe UI"/>
          <w:color w:val="212121"/>
          <w:sz w:val="23"/>
          <w:szCs w:val="23"/>
          <w:lang w:eastAsia="en-GB"/>
        </w:rPr>
      </w:pPr>
      <w:r>
        <w:rPr>
          <w:rFonts w:ascii="Arial" w:hAnsi="Arial" w:cs="Arial"/>
          <w:color w:val="212121"/>
          <w:lang w:eastAsia="en-GB"/>
        </w:rPr>
        <w:t>No</w:t>
      </w:r>
    </w:p>
    <w:p w:rsidR="00CC0C0C" w:rsidRPr="00CC0C0C" w:rsidRDefault="00CC0C0C" w:rsidP="00CC0C0C">
      <w:pPr>
        <w:shd w:val="clear" w:color="auto" w:fill="FFFFFF"/>
        <w:rPr>
          <w:rFonts w:ascii="Arial" w:hAnsi="Arial" w:cs="Arial"/>
          <w:color w:val="212121"/>
          <w:lang w:eastAsia="en-GB"/>
        </w:rPr>
      </w:pPr>
      <w:r>
        <w:rPr>
          <w:rFonts w:ascii="Arial" w:hAnsi="Arial" w:cs="Arial"/>
          <w:color w:val="212121"/>
          <w:lang w:eastAsia="en-GB"/>
        </w:rPr>
        <w:t>Please add further comment</w:t>
      </w:r>
    </w:p>
    <w:p w:rsidR="00CC0C0C" w:rsidRPr="00CC0C0C" w:rsidRDefault="00CC0C0C" w:rsidP="00CC0C0C">
      <w:pPr>
        <w:shd w:val="clear" w:color="auto" w:fill="FFFFFF"/>
        <w:rPr>
          <w:rFonts w:ascii="Helvetica Neue" w:hAnsi="Helvetica Neue"/>
          <w:color w:val="212121"/>
          <w:sz w:val="20"/>
          <w:szCs w:val="20"/>
          <w:lang w:eastAsia="en-GB"/>
        </w:rPr>
      </w:pPr>
      <w:r>
        <w:rPr>
          <w:rFonts w:ascii="Helvetica Neue" w:hAnsi="Helvetica Neue"/>
          <w:color w:val="212121"/>
          <w:sz w:val="20"/>
          <w:szCs w:val="20"/>
          <w:lang w:eastAsia="en-GB"/>
        </w:rPr>
        <w:t>Overall the responses received from our members and member organisations regarding both benchmarks were supportive of the draft statements; respondents felt that they described the subject area well and reflected the standards expected of graduates within these fields.</w:t>
      </w:r>
    </w:p>
    <w:p w:rsidR="00CC0C0C" w:rsidRDefault="00CC0C0C" w:rsidP="00CC0C0C">
      <w:pPr>
        <w:shd w:val="clear" w:color="auto" w:fill="FFFFFF"/>
        <w:rPr>
          <w:rFonts w:ascii="Segoe UI" w:hAnsi="Segoe UI" w:cs="Segoe UI"/>
          <w:sz w:val="23"/>
          <w:szCs w:val="23"/>
          <w:lang w:eastAsia="en-GB"/>
        </w:rPr>
      </w:pPr>
      <w:r>
        <w:rPr>
          <w:rFonts w:ascii="Arial" w:hAnsi="Arial" w:cs="Arial"/>
          <w:b/>
          <w:bCs/>
          <w:lang w:eastAsia="en-GB"/>
        </w:rPr>
        <w:t>Does the information in the introductory section(s) successfully describe the nature of the subject and its defining principles?</w:t>
      </w:r>
    </w:p>
    <w:p w:rsidR="00CC0C0C" w:rsidRDefault="00CC0C0C" w:rsidP="00CC0C0C">
      <w:pPr>
        <w:shd w:val="clear" w:color="auto" w:fill="FFFFFF"/>
        <w:rPr>
          <w:rFonts w:ascii="Segoe UI" w:hAnsi="Segoe UI" w:cs="Segoe UI"/>
          <w:color w:val="212121"/>
          <w:sz w:val="23"/>
          <w:szCs w:val="23"/>
          <w:lang w:eastAsia="en-GB"/>
        </w:rPr>
      </w:pPr>
      <w:r>
        <w:rPr>
          <w:rFonts w:ascii="Arial" w:hAnsi="Arial" w:cs="Arial"/>
          <w:color w:val="212121"/>
          <w:u w:val="single"/>
          <w:lang w:eastAsia="en-GB"/>
        </w:rPr>
        <w:t>Yes</w:t>
      </w:r>
    </w:p>
    <w:p w:rsidR="00CC0C0C" w:rsidRDefault="00CC0C0C" w:rsidP="00CC0C0C">
      <w:pPr>
        <w:shd w:val="clear" w:color="auto" w:fill="FFFFFF"/>
        <w:rPr>
          <w:rFonts w:ascii="Segoe UI" w:hAnsi="Segoe UI" w:cs="Segoe UI"/>
          <w:color w:val="212121"/>
          <w:sz w:val="23"/>
          <w:szCs w:val="23"/>
          <w:lang w:eastAsia="en-GB"/>
        </w:rPr>
      </w:pPr>
      <w:r>
        <w:rPr>
          <w:rFonts w:ascii="Arial" w:hAnsi="Arial" w:cs="Arial"/>
          <w:color w:val="212121"/>
          <w:lang w:eastAsia="en-GB"/>
        </w:rPr>
        <w:t>No</w:t>
      </w:r>
    </w:p>
    <w:p w:rsidR="00CC0C0C" w:rsidRDefault="00CC0C0C" w:rsidP="00CC0C0C">
      <w:pPr>
        <w:shd w:val="clear" w:color="auto" w:fill="FFFFFF"/>
        <w:rPr>
          <w:rFonts w:ascii="Arial" w:hAnsi="Arial" w:cs="Arial"/>
          <w:color w:val="1F497D"/>
          <w:lang w:eastAsia="en-GB"/>
        </w:rPr>
      </w:pPr>
      <w:r>
        <w:rPr>
          <w:rFonts w:ascii="Arial" w:hAnsi="Arial" w:cs="Arial"/>
          <w:color w:val="212121"/>
          <w:lang w:eastAsia="en-GB"/>
        </w:rPr>
        <w:t>If not, what additional aspects might be included, excluded or elaborated? </w:t>
      </w:r>
      <w:r>
        <w:rPr>
          <w:rFonts w:ascii="Arial" w:hAnsi="Arial" w:cs="Arial"/>
          <w:color w:val="1F497D"/>
          <w:lang w:eastAsia="en-GB"/>
        </w:rPr>
        <w:t> </w:t>
      </w:r>
    </w:p>
    <w:p w:rsidR="00CC0C0C" w:rsidRDefault="00CC0C0C" w:rsidP="00CC0C0C">
      <w:pPr>
        <w:shd w:val="clear" w:color="auto" w:fill="FFFFFF"/>
        <w:rPr>
          <w:rFonts w:ascii="Helvetica Neue" w:hAnsi="Helvetica Neue"/>
          <w:sz w:val="20"/>
          <w:szCs w:val="20"/>
          <w:lang w:eastAsia="en-GB"/>
        </w:rPr>
      </w:pPr>
      <w:r>
        <w:rPr>
          <w:rFonts w:ascii="Helvetica Neue" w:hAnsi="Helvetica Neue"/>
          <w:sz w:val="20"/>
          <w:szCs w:val="20"/>
          <w:lang w:eastAsia="en-GB"/>
        </w:rPr>
        <w:t>Feedback from RSB’s community is positive; generally the respondents felt that the introductory sections successfully describe the subject and its defining principles.  In section 1.1 to ensure that the broad nature of the biosciences is reflected in the benchmarks we would like to see the following phrase amended “</w:t>
      </w:r>
      <w:r w:rsidRPr="00D16C9C">
        <w:rPr>
          <w:rFonts w:ascii="Helvetica Neue" w:hAnsi="Helvetica Neue"/>
          <w:i/>
          <w:sz w:val="20"/>
          <w:szCs w:val="20"/>
          <w:lang w:eastAsia="en-GB"/>
        </w:rPr>
        <w:t>The subject area includes those science programmes whose primary focus is the biology of plants and animals, including humans, and ranges from generic programmes in botany and zoology to more specialised programmes in for example genetics, biochemistry, and ecology</w:t>
      </w:r>
      <w:r>
        <w:rPr>
          <w:rFonts w:ascii="Helvetica Neue" w:hAnsi="Helvetica Neue"/>
          <w:sz w:val="20"/>
          <w:szCs w:val="20"/>
          <w:lang w:eastAsia="en-GB"/>
        </w:rPr>
        <w:t>” to “</w:t>
      </w:r>
      <w:r w:rsidRPr="00D16C9C">
        <w:rPr>
          <w:rFonts w:ascii="Helvetica Neue" w:hAnsi="Helvetica Neue"/>
          <w:sz w:val="20"/>
          <w:szCs w:val="20"/>
          <w:lang w:eastAsia="en-GB"/>
        </w:rPr>
        <w:t xml:space="preserve">The subject area includes those science programmes whose primary focus is the biology of plants, </w:t>
      </w:r>
      <w:r w:rsidRPr="00D16C9C">
        <w:rPr>
          <w:rFonts w:ascii="Helvetica Neue" w:hAnsi="Helvetica Neue"/>
          <w:b/>
          <w:sz w:val="20"/>
          <w:szCs w:val="20"/>
          <w:lang w:eastAsia="en-GB"/>
        </w:rPr>
        <w:t>animals including humans, fungi and microorganisms</w:t>
      </w:r>
      <w:r w:rsidRPr="00D16C9C">
        <w:rPr>
          <w:rFonts w:ascii="Helvetica Neue" w:hAnsi="Helvetica Neue"/>
          <w:sz w:val="20"/>
          <w:szCs w:val="20"/>
          <w:lang w:eastAsia="en-GB"/>
        </w:rPr>
        <w:t xml:space="preserve"> and ranges from generic programmes in botany and zoology to more specialised programmes in for example genetics, biochemistry, and ecology</w:t>
      </w:r>
      <w:r>
        <w:rPr>
          <w:rFonts w:ascii="Helvetica Neue" w:hAnsi="Helvetica Neue"/>
          <w:i/>
          <w:sz w:val="20"/>
          <w:szCs w:val="20"/>
          <w:lang w:eastAsia="en-GB"/>
        </w:rPr>
        <w:t>”</w:t>
      </w:r>
      <w:r>
        <w:rPr>
          <w:rFonts w:ascii="Helvetica Neue" w:hAnsi="Helvetica Neue"/>
          <w:sz w:val="20"/>
          <w:szCs w:val="20"/>
          <w:lang w:eastAsia="en-GB"/>
        </w:rPr>
        <w:t xml:space="preserve"> We felt that this would better cover the range of living organisms and the breadth of study.  </w:t>
      </w:r>
    </w:p>
    <w:p w:rsidR="00CC0C0C" w:rsidRDefault="00CC0C0C" w:rsidP="00CC0C0C">
      <w:pPr>
        <w:shd w:val="clear" w:color="auto" w:fill="FFFFFF"/>
        <w:rPr>
          <w:rFonts w:ascii="Helvetica Neue" w:hAnsi="Helvetica Neue"/>
          <w:sz w:val="20"/>
          <w:szCs w:val="20"/>
          <w:lang w:eastAsia="en-GB"/>
        </w:rPr>
      </w:pPr>
      <w:r>
        <w:rPr>
          <w:rFonts w:ascii="Helvetica Neue" w:hAnsi="Helvetica Neue"/>
          <w:sz w:val="20"/>
          <w:szCs w:val="20"/>
          <w:lang w:eastAsia="en-GB"/>
        </w:rPr>
        <w:t>It was noted that within the ‘areas of employment’ in section 2.5, the statement may benefit from acknowledging that there are new and developing areas of the economy where bioscience graduates will be vital in supporting these emerging industries. The biosciences will be vital in solving 21</w:t>
      </w:r>
      <w:r w:rsidRPr="0013486B">
        <w:rPr>
          <w:rFonts w:ascii="Helvetica Neue" w:hAnsi="Helvetica Neue"/>
          <w:sz w:val="20"/>
          <w:szCs w:val="20"/>
          <w:vertAlign w:val="superscript"/>
          <w:lang w:eastAsia="en-GB"/>
        </w:rPr>
        <w:t>st</w:t>
      </w:r>
      <w:r>
        <w:rPr>
          <w:rFonts w:ascii="Helvetica Neue" w:hAnsi="Helvetica Neue"/>
          <w:sz w:val="20"/>
          <w:szCs w:val="20"/>
          <w:lang w:eastAsia="en-GB"/>
        </w:rPr>
        <w:t xml:space="preserve"> century problems.</w:t>
      </w:r>
    </w:p>
    <w:p w:rsidR="00CC0C0C" w:rsidRDefault="00CC0C0C" w:rsidP="00CC0C0C">
      <w:pPr>
        <w:shd w:val="clear" w:color="auto" w:fill="FFFFFF"/>
        <w:rPr>
          <w:rFonts w:ascii="Helvetica Neue" w:hAnsi="Helvetica Neue"/>
          <w:sz w:val="20"/>
          <w:szCs w:val="20"/>
        </w:rPr>
      </w:pPr>
      <w:r>
        <w:rPr>
          <w:rFonts w:ascii="Helvetica Neue" w:hAnsi="Helvetica Neue"/>
          <w:sz w:val="20"/>
          <w:szCs w:val="20"/>
          <w:lang w:eastAsia="en-GB"/>
        </w:rPr>
        <w:t>In section 3.3 it states “</w:t>
      </w:r>
      <w:r w:rsidRPr="00995C8E">
        <w:rPr>
          <w:rFonts w:ascii="Helvetica Neue" w:hAnsi="Helvetica Neue"/>
          <w:i/>
          <w:sz w:val="20"/>
          <w:szCs w:val="20"/>
        </w:rPr>
        <w:t>By the end of their programme students will be equipped with the skills necessary to enable them to plan and perform a research project and be aware of the need for Good Laboratory Practice</w:t>
      </w:r>
      <w:r w:rsidRPr="00995C8E">
        <w:rPr>
          <w:rFonts w:ascii="Helvetica Neue" w:hAnsi="Helvetica Neue"/>
          <w:i/>
          <w:sz w:val="20"/>
          <w:szCs w:val="20"/>
          <w:vertAlign w:val="superscript"/>
        </w:rPr>
        <w:t>9</w:t>
      </w:r>
      <w:r w:rsidRPr="00995C8E">
        <w:rPr>
          <w:rFonts w:ascii="Helvetica Neue" w:hAnsi="Helvetica Neue"/>
          <w:i/>
          <w:sz w:val="20"/>
          <w:szCs w:val="20"/>
        </w:rPr>
        <w:t xml:space="preserve"> and, if relevant, survey design and execution, health and safety, and legal and ethical aspects of research design and analysis</w:t>
      </w:r>
      <w:r>
        <w:rPr>
          <w:rFonts w:ascii="Helvetica Neue" w:hAnsi="Helvetica Neue"/>
          <w:sz w:val="20"/>
          <w:szCs w:val="20"/>
        </w:rPr>
        <w:t>.” The specific reference to the Good Laboratory Guide may be misunderstood to infer that laboratory practice is the only way of conducting research. It would be useful to rephrase this to: “</w:t>
      </w:r>
      <w:r w:rsidRPr="00B855E4">
        <w:rPr>
          <w:rFonts w:ascii="Helvetica Neue" w:hAnsi="Helvetica Neue"/>
          <w:sz w:val="20"/>
          <w:szCs w:val="20"/>
        </w:rPr>
        <w:t xml:space="preserve">By the end of their programme students will be equipped with the skills necessary to enable them to plan and perform a research project. </w:t>
      </w:r>
      <w:r w:rsidRPr="00B855E4">
        <w:rPr>
          <w:rFonts w:ascii="Helvetica Neue" w:hAnsi="Helvetica Neue"/>
          <w:b/>
          <w:sz w:val="20"/>
          <w:szCs w:val="20"/>
        </w:rPr>
        <w:t>They will be aware of the need for good practice in the laboratory</w:t>
      </w:r>
      <w:r w:rsidRPr="00B855E4">
        <w:rPr>
          <w:rFonts w:ascii="Helvetica Neue" w:hAnsi="Helvetica Neue"/>
          <w:b/>
          <w:sz w:val="20"/>
          <w:szCs w:val="20"/>
          <w:vertAlign w:val="superscript"/>
        </w:rPr>
        <w:t>9</w:t>
      </w:r>
      <w:r w:rsidRPr="00B855E4">
        <w:rPr>
          <w:rFonts w:ascii="Helvetica Neue" w:hAnsi="Helvetica Neue"/>
          <w:b/>
          <w:sz w:val="20"/>
          <w:szCs w:val="20"/>
        </w:rPr>
        <w:t xml:space="preserve"> and outside the laboratory which includes wet labs, dry labs and fieldwork, </w:t>
      </w:r>
      <w:r w:rsidRPr="00B855E4">
        <w:rPr>
          <w:rFonts w:ascii="Helvetica Neue" w:hAnsi="Helvetica Neue"/>
          <w:sz w:val="20"/>
          <w:szCs w:val="20"/>
        </w:rPr>
        <w:t>and, if relevant, survey design and execution, health and safety, and legal and ethical aspects of research design and analysis</w:t>
      </w:r>
      <w:r>
        <w:rPr>
          <w:rFonts w:ascii="Helvetica Neue" w:hAnsi="Helvetica Neue"/>
          <w:sz w:val="20"/>
          <w:szCs w:val="20"/>
        </w:rPr>
        <w:t xml:space="preserve">.” </w:t>
      </w:r>
    </w:p>
    <w:p w:rsidR="00CC0C0C" w:rsidRPr="00CC0C0C" w:rsidRDefault="00CC0C0C" w:rsidP="00CC0C0C">
      <w:pPr>
        <w:shd w:val="clear" w:color="auto" w:fill="FFFFFF"/>
        <w:rPr>
          <w:rFonts w:ascii="Helvetica Neue" w:hAnsi="Helvetica Neue"/>
          <w:sz w:val="20"/>
          <w:szCs w:val="20"/>
          <w:lang w:eastAsia="en-GB"/>
        </w:rPr>
      </w:pPr>
      <w:r w:rsidRPr="00D16C9C">
        <w:rPr>
          <w:rFonts w:ascii="Helvetica Neue" w:hAnsi="Helvetica Neue" w:cs="Arial"/>
          <w:sz w:val="20"/>
          <w:szCs w:val="20"/>
        </w:rPr>
        <w:t>As the biosciences involve study across a breadth of different groups of organisms. We feel it would be beneficial for the benchmark statement to highlight that students should understand examples across a range of different life-forms within the core subjects that they study (e.g. anatomy, ecology, population biology, biochemistry, physiology, genetics, immunology, cell and molecular biology, bioinformatics and evolution). We suggest amending section 3.4 as follows to “The Biosciences Subject Benchmark Statement covers a range of programmes and subjects grouped around the investigation of life processes and the interrelationships of living organisms. This involves study and understanding of the interrelationships of a variety of levels from molecules to populations</w:t>
      </w:r>
      <w:r w:rsidRPr="00D16C9C">
        <w:rPr>
          <w:rFonts w:ascii="Helvetica Neue" w:hAnsi="Helvetica Neue" w:cs="Arial"/>
          <w:b/>
          <w:bCs/>
          <w:sz w:val="20"/>
          <w:szCs w:val="20"/>
        </w:rPr>
        <w:t>, including examples from plants, animals, fungi and microorganisms”</w:t>
      </w:r>
      <w:r w:rsidRPr="00D16C9C">
        <w:rPr>
          <w:rFonts w:ascii="Helvetica Neue" w:hAnsi="Helvetica Neue" w:cs="Arial"/>
          <w:sz w:val="20"/>
          <w:szCs w:val="20"/>
        </w:rPr>
        <w:t>. Evidence from the</w:t>
      </w:r>
      <w:r>
        <w:rPr>
          <w:rFonts w:ascii="Helvetica Neue" w:hAnsi="Helvetica Neue"/>
          <w:sz w:val="20"/>
          <w:szCs w:val="20"/>
        </w:rPr>
        <w:t xml:space="preserve"> “</w:t>
      </w:r>
      <w:hyperlink r:id="rId8" w:history="1">
        <w:r w:rsidRPr="003753FE">
          <w:rPr>
            <w:rStyle w:val="Hyperlink"/>
            <w:rFonts w:ascii="Helvetica Neue" w:hAnsi="Helvetica Neue"/>
            <w:i/>
            <w:sz w:val="20"/>
            <w:szCs w:val="20"/>
          </w:rPr>
          <w:t>UK Plant Science Current status and future challenges</w:t>
        </w:r>
      </w:hyperlink>
      <w:r>
        <w:rPr>
          <w:rFonts w:ascii="Helvetica Neue" w:hAnsi="Helvetica Neue"/>
          <w:sz w:val="20"/>
          <w:szCs w:val="20"/>
        </w:rPr>
        <w:t xml:space="preserve">” report suggests that there is little exposure to plant science across some bioscience degrees and that </w:t>
      </w:r>
      <w:proofErr w:type="gramStart"/>
      <w:r>
        <w:rPr>
          <w:rFonts w:ascii="Helvetica Neue" w:hAnsi="Helvetica Neue"/>
          <w:sz w:val="20"/>
          <w:szCs w:val="20"/>
        </w:rPr>
        <w:t>undergraduates</w:t>
      </w:r>
      <w:proofErr w:type="gramEnd"/>
      <w:r>
        <w:rPr>
          <w:rFonts w:ascii="Helvetica Neue" w:hAnsi="Helvetica Neue"/>
          <w:sz w:val="20"/>
          <w:szCs w:val="20"/>
        </w:rPr>
        <w:t xml:space="preserve"> favour animal and human biology.  Where it is appropriate to the bioscience degree we want to encourage the use of a variety of examples from a range of living organisms.</w:t>
      </w:r>
    </w:p>
    <w:p w:rsidR="00CC0C0C" w:rsidRDefault="00CC0C0C" w:rsidP="00CC0C0C">
      <w:pPr>
        <w:shd w:val="clear" w:color="auto" w:fill="FFFFFF"/>
        <w:rPr>
          <w:rFonts w:ascii="Segoe UI" w:hAnsi="Segoe UI" w:cs="Segoe UI"/>
          <w:color w:val="212121"/>
          <w:sz w:val="23"/>
          <w:szCs w:val="23"/>
          <w:lang w:eastAsia="en-GB"/>
        </w:rPr>
      </w:pPr>
      <w:r>
        <w:rPr>
          <w:rFonts w:ascii="Arial" w:hAnsi="Arial" w:cs="Arial"/>
          <w:b/>
          <w:bCs/>
          <w:color w:val="212121"/>
          <w:lang w:eastAsia="en-GB"/>
        </w:rPr>
        <w:t>Does the section on subject knowledge and understanding still describe the core aspects of the subject area?</w:t>
      </w:r>
    </w:p>
    <w:p w:rsidR="00CC0C0C" w:rsidRDefault="00CC0C0C" w:rsidP="00CC0C0C">
      <w:pPr>
        <w:shd w:val="clear" w:color="auto" w:fill="FFFFFF"/>
        <w:rPr>
          <w:rFonts w:ascii="Segoe UI" w:hAnsi="Segoe UI" w:cs="Segoe UI"/>
          <w:color w:val="212121"/>
          <w:sz w:val="23"/>
          <w:szCs w:val="23"/>
          <w:lang w:eastAsia="en-GB"/>
        </w:rPr>
      </w:pPr>
      <w:r>
        <w:rPr>
          <w:rFonts w:ascii="Arial" w:hAnsi="Arial" w:cs="Arial"/>
          <w:color w:val="212121"/>
          <w:u w:val="single"/>
          <w:lang w:eastAsia="en-GB"/>
        </w:rPr>
        <w:t>Yes</w:t>
      </w:r>
    </w:p>
    <w:p w:rsidR="00CC0C0C" w:rsidRDefault="00CC0C0C" w:rsidP="00CC0C0C">
      <w:pPr>
        <w:shd w:val="clear" w:color="auto" w:fill="FFFFFF"/>
        <w:rPr>
          <w:rFonts w:ascii="Segoe UI" w:hAnsi="Segoe UI" w:cs="Segoe UI"/>
          <w:color w:val="212121"/>
          <w:sz w:val="23"/>
          <w:szCs w:val="23"/>
          <w:lang w:eastAsia="en-GB"/>
        </w:rPr>
      </w:pPr>
      <w:r>
        <w:rPr>
          <w:rFonts w:ascii="Arial" w:hAnsi="Arial" w:cs="Arial"/>
          <w:color w:val="212121"/>
          <w:lang w:eastAsia="en-GB"/>
        </w:rPr>
        <w:t>No</w:t>
      </w:r>
    </w:p>
    <w:p w:rsidR="00CC0C0C" w:rsidRPr="00CC0C0C" w:rsidRDefault="00CC0C0C" w:rsidP="00CC0C0C">
      <w:pPr>
        <w:shd w:val="clear" w:color="auto" w:fill="FFFFFF"/>
        <w:rPr>
          <w:rFonts w:ascii="Arial" w:hAnsi="Arial" w:cs="Arial"/>
          <w:color w:val="212121"/>
          <w:lang w:eastAsia="en-GB"/>
        </w:rPr>
      </w:pPr>
      <w:r>
        <w:rPr>
          <w:rFonts w:ascii="Arial" w:hAnsi="Arial" w:cs="Arial"/>
          <w:color w:val="212121"/>
          <w:lang w:eastAsia="en-GB"/>
        </w:rPr>
        <w:t>Are there any areas of knowledge that should be included to reflect newly emerged areas of teaching/research? Are there any areas that have become redundant?</w:t>
      </w:r>
    </w:p>
    <w:p w:rsidR="00CC0C0C" w:rsidRDefault="00CC0C0C" w:rsidP="00CC0C0C">
      <w:pPr>
        <w:shd w:val="clear" w:color="auto" w:fill="FFFFFF"/>
        <w:rPr>
          <w:rFonts w:ascii="Helvetica Neue" w:hAnsi="Helvetica Neue"/>
          <w:sz w:val="20"/>
          <w:szCs w:val="20"/>
          <w:lang w:eastAsia="en-GB"/>
        </w:rPr>
      </w:pPr>
      <w:r w:rsidRPr="002B0116">
        <w:rPr>
          <w:rFonts w:ascii="Helvetica Neue" w:hAnsi="Helvetica Neue"/>
          <w:sz w:val="20"/>
          <w:szCs w:val="20"/>
          <w:lang w:eastAsia="en-GB"/>
        </w:rPr>
        <w:t xml:space="preserve">We believe that the bioscience </w:t>
      </w:r>
      <w:r w:rsidRPr="00995C8E">
        <w:rPr>
          <w:rFonts w:ascii="Helvetica Neue" w:hAnsi="Helvetica Neue"/>
          <w:sz w:val="20"/>
          <w:szCs w:val="20"/>
          <w:lang w:eastAsia="en-GB"/>
        </w:rPr>
        <w:t>benchmark adequately describes the core aspects of the subject</w:t>
      </w:r>
      <w:r w:rsidRPr="002B0116">
        <w:rPr>
          <w:rFonts w:ascii="Helvetica Neue" w:hAnsi="Helvetica Neue"/>
          <w:sz w:val="20"/>
          <w:szCs w:val="20"/>
          <w:lang w:eastAsia="en-GB"/>
        </w:rPr>
        <w:t xml:space="preserve">. </w:t>
      </w:r>
      <w:r w:rsidRPr="00995C8E">
        <w:rPr>
          <w:rFonts w:ascii="Helvetica Neue" w:hAnsi="Helvetica Neue"/>
          <w:sz w:val="20"/>
          <w:szCs w:val="20"/>
          <w:lang w:eastAsia="en-GB"/>
        </w:rPr>
        <w:t>In</w:t>
      </w:r>
      <w:r w:rsidRPr="002B0116">
        <w:rPr>
          <w:rFonts w:ascii="Helvetica Neue" w:hAnsi="Helvetica Neue"/>
          <w:sz w:val="20"/>
          <w:szCs w:val="20"/>
          <w:lang w:eastAsia="en-GB"/>
        </w:rPr>
        <w:t xml:space="preserve"> section 5.2 </w:t>
      </w:r>
      <w:r w:rsidRPr="00995C8E">
        <w:rPr>
          <w:rFonts w:ascii="Helvetica Neue" w:hAnsi="Helvetica Neue"/>
          <w:sz w:val="20"/>
          <w:szCs w:val="20"/>
          <w:lang w:eastAsia="en-GB"/>
        </w:rPr>
        <w:t>it</w:t>
      </w:r>
      <w:r w:rsidRPr="002B0116">
        <w:rPr>
          <w:rFonts w:ascii="Helvetica Neue" w:hAnsi="Helvetica Neue"/>
          <w:sz w:val="20"/>
          <w:szCs w:val="20"/>
          <w:lang w:eastAsia="en-GB"/>
        </w:rPr>
        <w:t xml:space="preserve"> sets out the approaches to study and forms of subject knowledge likely to be common to all bioscience degrees</w:t>
      </w:r>
      <w:r>
        <w:rPr>
          <w:rFonts w:ascii="Helvetica Neue" w:hAnsi="Helvetica Neue"/>
          <w:sz w:val="20"/>
          <w:szCs w:val="20"/>
          <w:lang w:eastAsia="en-GB"/>
        </w:rPr>
        <w:t xml:space="preserve">; some respondents </w:t>
      </w:r>
      <w:r w:rsidRPr="002B0116">
        <w:rPr>
          <w:rFonts w:ascii="Helvetica Neue" w:hAnsi="Helvetica Neue"/>
          <w:sz w:val="20"/>
          <w:szCs w:val="20"/>
          <w:lang w:eastAsia="en-GB"/>
        </w:rPr>
        <w:t xml:space="preserve">suggested that it may be </w:t>
      </w:r>
      <w:r>
        <w:rPr>
          <w:rFonts w:ascii="Helvetica Neue" w:hAnsi="Helvetica Neue"/>
          <w:sz w:val="20"/>
          <w:szCs w:val="20"/>
          <w:lang w:eastAsia="en-GB"/>
        </w:rPr>
        <w:t xml:space="preserve">useful to </w:t>
      </w:r>
      <w:r w:rsidRPr="002B0116">
        <w:rPr>
          <w:rFonts w:ascii="Helvetica Neue" w:hAnsi="Helvetica Neue"/>
          <w:sz w:val="20"/>
          <w:szCs w:val="20"/>
          <w:lang w:eastAsia="en-GB"/>
        </w:rPr>
        <w:t xml:space="preserve">expect all bioscience undergraduates to have </w:t>
      </w:r>
      <w:proofErr w:type="gramStart"/>
      <w:r w:rsidRPr="002B0116">
        <w:rPr>
          <w:rFonts w:ascii="Helvetica Neue" w:hAnsi="Helvetica Neue"/>
          <w:sz w:val="20"/>
          <w:szCs w:val="20"/>
          <w:lang w:eastAsia="en-GB"/>
        </w:rPr>
        <w:t>a grounding</w:t>
      </w:r>
      <w:proofErr w:type="gramEnd"/>
      <w:r w:rsidRPr="002B0116">
        <w:rPr>
          <w:rFonts w:ascii="Helvetica Neue" w:hAnsi="Helvetica Neue"/>
          <w:sz w:val="20"/>
          <w:szCs w:val="20"/>
          <w:lang w:eastAsia="en-GB"/>
        </w:rPr>
        <w:t xml:space="preserve"> in the philosophy of science and how knowledge is constructed.</w:t>
      </w:r>
    </w:p>
    <w:p w:rsidR="00CC0C0C" w:rsidRDefault="00CC0C0C" w:rsidP="00CC0C0C">
      <w:pPr>
        <w:pStyle w:val="HTMLPreformatted"/>
        <w:shd w:val="clear" w:color="auto" w:fill="FFFFFF"/>
        <w:rPr>
          <w:rFonts w:ascii="Helvetica Neue" w:hAnsi="Helvetica Neue" w:cs="Arial"/>
          <w:color w:val="000000"/>
        </w:rPr>
      </w:pPr>
      <w:r w:rsidRPr="00B8746D">
        <w:rPr>
          <w:rFonts w:ascii="Helvetica Neue" w:hAnsi="Helvetica Neue" w:cs="Arial"/>
          <w:color w:val="000000"/>
        </w:rPr>
        <w:t>Alongside this an area of increasing importance is the intersection of science with policy. Students of the biosciences need to know when and how scientific discoveries can influence decision makers and the public, and how science makes an impact on society</w:t>
      </w:r>
      <w:r>
        <w:rPr>
          <w:rFonts w:ascii="Helvetica Neue" w:hAnsi="Helvetica Neue" w:cs="Arial"/>
          <w:color w:val="000000"/>
        </w:rPr>
        <w:t xml:space="preserve"> -</w:t>
      </w:r>
      <w:r w:rsidRPr="00B8746D">
        <w:rPr>
          <w:rFonts w:ascii="Helvetica Neue" w:hAnsi="Helvetica Neue" w:cs="Arial"/>
          <w:color w:val="000000"/>
        </w:rPr>
        <w:t xml:space="preserve"> this should be embedded in all bioscience courses.</w:t>
      </w:r>
    </w:p>
    <w:p w:rsidR="00CC0C0C" w:rsidRPr="00CC0C0C" w:rsidRDefault="00CC0C0C" w:rsidP="00CC0C0C">
      <w:pPr>
        <w:pStyle w:val="HTMLPreformatted"/>
        <w:shd w:val="clear" w:color="auto" w:fill="FFFFFF"/>
        <w:rPr>
          <w:rFonts w:ascii="Helvetica Neue" w:hAnsi="Helvetica Neue" w:cs="Arial"/>
          <w:color w:val="000000"/>
        </w:rPr>
      </w:pPr>
    </w:p>
    <w:p w:rsidR="00CC0C0C" w:rsidRDefault="00CC0C0C" w:rsidP="00CC0C0C">
      <w:pPr>
        <w:shd w:val="clear" w:color="auto" w:fill="FFFFFF"/>
        <w:rPr>
          <w:rFonts w:ascii="Segoe UI" w:hAnsi="Segoe UI" w:cs="Segoe UI"/>
          <w:color w:val="212121"/>
          <w:sz w:val="23"/>
          <w:szCs w:val="23"/>
          <w:lang w:eastAsia="en-GB"/>
        </w:rPr>
      </w:pPr>
      <w:r>
        <w:rPr>
          <w:rFonts w:ascii="Arial" w:hAnsi="Arial" w:cs="Arial"/>
          <w:b/>
          <w:bCs/>
          <w:color w:val="212121"/>
          <w:lang w:eastAsia="en-GB"/>
        </w:rPr>
        <w:t>Does the section relating to subject-specific skills cover adequately the skills expected of a graduate in the subject area?</w:t>
      </w:r>
    </w:p>
    <w:p w:rsidR="00CC0C0C" w:rsidRDefault="00CC0C0C" w:rsidP="00CC0C0C">
      <w:pPr>
        <w:shd w:val="clear" w:color="auto" w:fill="FFFFFF"/>
        <w:rPr>
          <w:rFonts w:ascii="Segoe UI" w:hAnsi="Segoe UI" w:cs="Segoe UI"/>
          <w:color w:val="212121"/>
          <w:sz w:val="23"/>
          <w:szCs w:val="23"/>
          <w:lang w:eastAsia="en-GB"/>
        </w:rPr>
      </w:pPr>
      <w:r>
        <w:rPr>
          <w:rFonts w:ascii="Arial" w:hAnsi="Arial" w:cs="Arial"/>
          <w:color w:val="212121"/>
          <w:u w:val="single"/>
          <w:lang w:eastAsia="en-GB"/>
        </w:rPr>
        <w:t>Yes</w:t>
      </w:r>
    </w:p>
    <w:p w:rsidR="00CC0C0C" w:rsidRDefault="00CC0C0C" w:rsidP="00CC0C0C">
      <w:pPr>
        <w:shd w:val="clear" w:color="auto" w:fill="FFFFFF"/>
        <w:rPr>
          <w:rFonts w:ascii="Segoe UI" w:hAnsi="Segoe UI" w:cs="Segoe UI"/>
          <w:color w:val="212121"/>
          <w:sz w:val="23"/>
          <w:szCs w:val="23"/>
          <w:lang w:eastAsia="en-GB"/>
        </w:rPr>
      </w:pPr>
      <w:r>
        <w:rPr>
          <w:rFonts w:ascii="Arial" w:hAnsi="Arial" w:cs="Arial"/>
          <w:color w:val="212121"/>
          <w:lang w:eastAsia="en-GB"/>
        </w:rPr>
        <w:t>No</w:t>
      </w:r>
    </w:p>
    <w:p w:rsidR="00CC0C0C" w:rsidRPr="00CC0C0C" w:rsidRDefault="00CC0C0C" w:rsidP="00CC0C0C">
      <w:pPr>
        <w:shd w:val="clear" w:color="auto" w:fill="FFFFFF"/>
        <w:rPr>
          <w:rFonts w:ascii="Segoe UI" w:hAnsi="Segoe UI" w:cs="Segoe UI"/>
          <w:color w:val="212121"/>
          <w:sz w:val="23"/>
          <w:szCs w:val="23"/>
          <w:lang w:eastAsia="en-GB"/>
        </w:rPr>
      </w:pPr>
      <w:r>
        <w:rPr>
          <w:rFonts w:ascii="Arial" w:hAnsi="Arial" w:cs="Arial"/>
          <w:color w:val="212121"/>
          <w:lang w:eastAsia="en-GB"/>
        </w:rPr>
        <w:t>Please add further comment</w:t>
      </w:r>
    </w:p>
    <w:p w:rsidR="00CC0C0C" w:rsidRPr="00CC0C0C" w:rsidRDefault="00CC0C0C" w:rsidP="00CC0C0C">
      <w:pPr>
        <w:shd w:val="clear" w:color="auto" w:fill="FFFFFF"/>
        <w:rPr>
          <w:rFonts w:ascii="Helvetica Neue" w:hAnsi="Helvetica Neue"/>
          <w:color w:val="212121"/>
          <w:sz w:val="20"/>
          <w:szCs w:val="20"/>
          <w:lang w:eastAsia="en-GB"/>
        </w:rPr>
      </w:pPr>
      <w:r>
        <w:rPr>
          <w:rFonts w:ascii="Helvetica Neue" w:hAnsi="Helvetica Neue"/>
          <w:color w:val="212121"/>
          <w:sz w:val="20"/>
          <w:szCs w:val="20"/>
          <w:lang w:eastAsia="en-GB"/>
        </w:rPr>
        <w:t>We feel that this section is covered well.</w:t>
      </w:r>
    </w:p>
    <w:p w:rsidR="00CC0C0C" w:rsidRDefault="00CC0C0C" w:rsidP="00CC0C0C">
      <w:pPr>
        <w:shd w:val="clear" w:color="auto" w:fill="FFFFFF"/>
        <w:rPr>
          <w:rFonts w:ascii="Segoe UI" w:hAnsi="Segoe UI" w:cs="Segoe UI"/>
          <w:color w:val="212121"/>
          <w:sz w:val="23"/>
          <w:szCs w:val="23"/>
          <w:lang w:eastAsia="en-GB"/>
        </w:rPr>
      </w:pPr>
      <w:r>
        <w:rPr>
          <w:rFonts w:ascii="Arial" w:hAnsi="Arial" w:cs="Arial"/>
          <w:b/>
          <w:bCs/>
          <w:color w:val="212121"/>
          <w:lang w:eastAsia="en-GB"/>
        </w:rPr>
        <w:t>Is the coverage of the generic skills expected to be acquired by a graduate in the subject area adequate and appropriate?</w:t>
      </w:r>
    </w:p>
    <w:p w:rsidR="00CC0C0C" w:rsidRDefault="00CC0C0C" w:rsidP="00CC0C0C">
      <w:pPr>
        <w:shd w:val="clear" w:color="auto" w:fill="FFFFFF"/>
        <w:rPr>
          <w:rFonts w:ascii="Segoe UI" w:hAnsi="Segoe UI" w:cs="Segoe UI"/>
          <w:color w:val="212121"/>
          <w:sz w:val="23"/>
          <w:szCs w:val="23"/>
          <w:lang w:eastAsia="en-GB"/>
        </w:rPr>
      </w:pPr>
      <w:r>
        <w:rPr>
          <w:rFonts w:ascii="Arial" w:hAnsi="Arial" w:cs="Arial"/>
          <w:color w:val="212121"/>
          <w:u w:val="single"/>
          <w:lang w:eastAsia="en-GB"/>
        </w:rPr>
        <w:t>Yes</w:t>
      </w:r>
    </w:p>
    <w:p w:rsidR="00CC0C0C" w:rsidRDefault="00CC0C0C" w:rsidP="00CC0C0C">
      <w:pPr>
        <w:shd w:val="clear" w:color="auto" w:fill="FFFFFF"/>
        <w:rPr>
          <w:rFonts w:ascii="Segoe UI" w:hAnsi="Segoe UI" w:cs="Segoe UI"/>
          <w:color w:val="212121"/>
          <w:sz w:val="23"/>
          <w:szCs w:val="23"/>
          <w:lang w:eastAsia="en-GB"/>
        </w:rPr>
      </w:pPr>
      <w:r>
        <w:rPr>
          <w:rFonts w:ascii="Arial" w:hAnsi="Arial" w:cs="Arial"/>
          <w:color w:val="212121"/>
          <w:lang w:eastAsia="en-GB"/>
        </w:rPr>
        <w:t>No</w:t>
      </w:r>
    </w:p>
    <w:p w:rsidR="00CC0C0C" w:rsidRDefault="00CC0C0C" w:rsidP="00CC0C0C">
      <w:pPr>
        <w:shd w:val="clear" w:color="auto" w:fill="FFFFFF"/>
        <w:rPr>
          <w:rFonts w:ascii="Arial" w:hAnsi="Arial" w:cs="Arial"/>
          <w:color w:val="212121"/>
          <w:lang w:eastAsia="en-GB"/>
        </w:rPr>
      </w:pPr>
      <w:r>
        <w:rPr>
          <w:rFonts w:ascii="Arial" w:hAnsi="Arial" w:cs="Arial"/>
          <w:color w:val="212121"/>
          <w:lang w:eastAsia="en-GB"/>
        </w:rPr>
        <w:t>Please add further comment</w:t>
      </w:r>
    </w:p>
    <w:p w:rsidR="00CC0C0C" w:rsidRDefault="00CC0C0C" w:rsidP="00CC0C0C">
      <w:pPr>
        <w:shd w:val="clear" w:color="auto" w:fill="FFFFFF"/>
        <w:rPr>
          <w:rFonts w:ascii="Helvetica Neue" w:hAnsi="Helvetica Neue"/>
          <w:color w:val="212121"/>
          <w:sz w:val="20"/>
          <w:szCs w:val="20"/>
          <w:lang w:eastAsia="en-GB"/>
        </w:rPr>
      </w:pPr>
      <w:r>
        <w:rPr>
          <w:rFonts w:ascii="Helvetica Neue" w:hAnsi="Helvetica Neue"/>
          <w:color w:val="212121"/>
          <w:sz w:val="20"/>
          <w:szCs w:val="20"/>
          <w:lang w:eastAsia="en-GB"/>
        </w:rPr>
        <w:t>Under section 4.3 there were some concerns raised that it needs to be explicit that students should have an understanding of the mathematical basis of the statistical work that they may do, and not just know how to use the software.</w:t>
      </w:r>
    </w:p>
    <w:p w:rsidR="00CC0C0C" w:rsidRPr="00CC0C0C" w:rsidRDefault="00CC0C0C" w:rsidP="00CC0C0C">
      <w:pPr>
        <w:shd w:val="clear" w:color="auto" w:fill="FFFFFF"/>
        <w:rPr>
          <w:rFonts w:ascii="Helvetica Neue" w:hAnsi="Helvetica Neue"/>
          <w:color w:val="212121"/>
          <w:sz w:val="20"/>
          <w:szCs w:val="20"/>
          <w:lang w:eastAsia="en-GB"/>
        </w:rPr>
      </w:pPr>
      <w:r>
        <w:rPr>
          <w:rFonts w:ascii="Helvetica Neue" w:hAnsi="Helvetica Neue"/>
          <w:color w:val="212121"/>
          <w:sz w:val="20"/>
          <w:szCs w:val="20"/>
          <w:lang w:eastAsia="en-GB"/>
        </w:rPr>
        <w:t>It was also noted for section 4.4 that a skill that future biologists will need is to be able to code software; programming may be something that we would like to see included on bioscience degree programmes.</w:t>
      </w:r>
    </w:p>
    <w:p w:rsidR="00CC0C0C" w:rsidRDefault="00CC0C0C" w:rsidP="00CC0C0C">
      <w:pPr>
        <w:shd w:val="clear" w:color="auto" w:fill="FFFFFF"/>
        <w:rPr>
          <w:rFonts w:ascii="Segoe UI" w:hAnsi="Segoe UI" w:cs="Segoe UI"/>
          <w:color w:val="212121"/>
          <w:sz w:val="23"/>
          <w:szCs w:val="23"/>
          <w:lang w:eastAsia="en-GB"/>
        </w:rPr>
      </w:pPr>
      <w:r>
        <w:rPr>
          <w:rFonts w:ascii="Arial" w:hAnsi="Arial" w:cs="Arial"/>
          <w:b/>
          <w:bCs/>
          <w:color w:val="212121"/>
          <w:lang w:eastAsia="en-GB"/>
        </w:rPr>
        <w:t>Does the section on teaching, learning and assessment continue to provide an appropriate indication of the types of teaching and assessment relevant to the subject area?</w:t>
      </w:r>
    </w:p>
    <w:p w:rsidR="00CC0C0C" w:rsidRDefault="00CC0C0C" w:rsidP="00CC0C0C">
      <w:pPr>
        <w:shd w:val="clear" w:color="auto" w:fill="FFFFFF"/>
        <w:rPr>
          <w:rFonts w:ascii="Segoe UI" w:hAnsi="Segoe UI" w:cs="Segoe UI"/>
          <w:color w:val="212121"/>
          <w:sz w:val="23"/>
          <w:szCs w:val="23"/>
          <w:lang w:eastAsia="en-GB"/>
        </w:rPr>
      </w:pPr>
      <w:r>
        <w:rPr>
          <w:rFonts w:ascii="Arial" w:hAnsi="Arial" w:cs="Arial"/>
          <w:color w:val="212121"/>
          <w:u w:val="single"/>
          <w:lang w:eastAsia="en-GB"/>
        </w:rPr>
        <w:t>Yes</w:t>
      </w:r>
    </w:p>
    <w:p w:rsidR="00CC0C0C" w:rsidRDefault="00CC0C0C" w:rsidP="00CC0C0C">
      <w:pPr>
        <w:shd w:val="clear" w:color="auto" w:fill="FFFFFF"/>
        <w:rPr>
          <w:rFonts w:ascii="Segoe UI" w:hAnsi="Segoe UI" w:cs="Segoe UI"/>
          <w:color w:val="212121"/>
          <w:sz w:val="23"/>
          <w:szCs w:val="23"/>
          <w:lang w:eastAsia="en-GB"/>
        </w:rPr>
      </w:pPr>
      <w:r>
        <w:rPr>
          <w:rFonts w:ascii="Arial" w:hAnsi="Arial" w:cs="Arial"/>
          <w:color w:val="212121"/>
          <w:lang w:eastAsia="en-GB"/>
        </w:rPr>
        <w:t>No</w:t>
      </w:r>
    </w:p>
    <w:p w:rsidR="00CC0C0C" w:rsidRPr="00CC0C0C" w:rsidRDefault="00CC0C0C" w:rsidP="00CC0C0C">
      <w:pPr>
        <w:shd w:val="clear" w:color="auto" w:fill="FFFFFF"/>
        <w:rPr>
          <w:rFonts w:ascii="Arial" w:hAnsi="Arial" w:cs="Arial"/>
          <w:color w:val="212121"/>
          <w:lang w:eastAsia="en-GB"/>
        </w:rPr>
      </w:pPr>
      <w:r>
        <w:rPr>
          <w:rFonts w:ascii="Arial" w:hAnsi="Arial" w:cs="Arial"/>
          <w:color w:val="212121"/>
          <w:lang w:eastAsia="en-GB"/>
        </w:rPr>
        <w:t>Please add further comment</w:t>
      </w:r>
      <w:bookmarkStart w:id="0" w:name="_GoBack"/>
      <w:bookmarkEnd w:id="0"/>
    </w:p>
    <w:p w:rsidR="00CC0C0C" w:rsidRDefault="00CC0C0C" w:rsidP="00CC0C0C">
      <w:pPr>
        <w:shd w:val="clear" w:color="auto" w:fill="FFFFFF"/>
        <w:rPr>
          <w:rFonts w:ascii="Helvetica Neue" w:hAnsi="Helvetica Neue"/>
          <w:color w:val="212121"/>
          <w:sz w:val="20"/>
          <w:szCs w:val="20"/>
          <w:lang w:eastAsia="en-GB"/>
        </w:rPr>
      </w:pPr>
      <w:r>
        <w:rPr>
          <w:rFonts w:ascii="Helvetica Neue" w:hAnsi="Helvetica Neue"/>
          <w:color w:val="212121"/>
          <w:sz w:val="20"/>
          <w:szCs w:val="20"/>
          <w:lang w:eastAsia="en-GB"/>
        </w:rPr>
        <w:t xml:space="preserve">It was noted that there are a wide variety of strategies referenced in the benchmarks and we are pleased to see reference to the teaching, learning and assessment strategies not being static. We agree that they should be flexible and adaptable to best fit our current understanding of good practice in teaching. Developments in teaching development and design should be based upon recent educational research in design and delivery, and new subject content should be based upon up to date scientific research in the field. Point 6.2 highlights the expectation that teaching staff should have access to professional development opportunities; the RSB is fully supportive of this. The range of suggested activities is sufficiently broad for both teaching and assessment. </w:t>
      </w:r>
    </w:p>
    <w:p w:rsidR="00CC0C0C" w:rsidRPr="00CC0C0C" w:rsidRDefault="00CC0C0C" w:rsidP="00CC0C0C">
      <w:pPr>
        <w:shd w:val="clear" w:color="auto" w:fill="FFFFFF"/>
        <w:rPr>
          <w:rFonts w:ascii="Helvetica Neue" w:hAnsi="Helvetica Neue"/>
          <w:color w:val="212121"/>
          <w:sz w:val="20"/>
          <w:szCs w:val="20"/>
          <w:lang w:eastAsia="en-GB"/>
        </w:rPr>
      </w:pPr>
      <w:r>
        <w:rPr>
          <w:rFonts w:ascii="Helvetica Neue" w:hAnsi="Helvetica Neue"/>
          <w:color w:val="212121"/>
          <w:sz w:val="20"/>
          <w:szCs w:val="20"/>
          <w:lang w:eastAsia="en-GB"/>
        </w:rPr>
        <w:t>Under section 6.4, which lists learning and teaching strategies/ experiences that may be used during courses, it has been suggested that the point “</w:t>
      </w:r>
      <w:r>
        <w:rPr>
          <w:rFonts w:ascii="Helvetica Neue" w:hAnsi="Helvetica Neue"/>
          <w:i/>
          <w:color w:val="212121"/>
          <w:sz w:val="20"/>
          <w:szCs w:val="20"/>
          <w:lang w:eastAsia="en-GB"/>
        </w:rPr>
        <w:t xml:space="preserve">work-based and other placements” </w:t>
      </w:r>
      <w:r>
        <w:rPr>
          <w:rFonts w:ascii="Helvetica Neue" w:hAnsi="Helvetica Neue"/>
          <w:color w:val="212121"/>
          <w:sz w:val="20"/>
          <w:szCs w:val="20"/>
          <w:lang w:eastAsia="en-GB"/>
        </w:rPr>
        <w:t>could be expanded to say “</w:t>
      </w:r>
      <w:r>
        <w:rPr>
          <w:rFonts w:ascii="Helvetica Neue" w:hAnsi="Helvetica Neue"/>
          <w:i/>
          <w:color w:val="212121"/>
          <w:sz w:val="20"/>
          <w:szCs w:val="20"/>
          <w:lang w:eastAsia="en-GB"/>
        </w:rPr>
        <w:t xml:space="preserve">work-based, other </w:t>
      </w:r>
      <w:proofErr w:type="gramStart"/>
      <w:r>
        <w:rPr>
          <w:rFonts w:ascii="Helvetica Neue" w:hAnsi="Helvetica Neue"/>
          <w:i/>
          <w:color w:val="212121"/>
          <w:sz w:val="20"/>
          <w:szCs w:val="20"/>
          <w:lang w:eastAsia="en-GB"/>
        </w:rPr>
        <w:t>placements</w:t>
      </w:r>
      <w:proofErr w:type="gramEnd"/>
      <w:r>
        <w:rPr>
          <w:rFonts w:ascii="Helvetica Neue" w:hAnsi="Helvetica Neue"/>
          <w:i/>
          <w:color w:val="212121"/>
          <w:sz w:val="20"/>
          <w:szCs w:val="20"/>
          <w:lang w:eastAsia="en-GB"/>
        </w:rPr>
        <w:t xml:space="preserve"> </w:t>
      </w:r>
      <w:r w:rsidRPr="00A11DBB">
        <w:rPr>
          <w:rFonts w:ascii="Helvetica Neue" w:hAnsi="Helvetica Neue"/>
          <w:i/>
          <w:color w:val="212121"/>
          <w:sz w:val="20"/>
          <w:szCs w:val="20"/>
          <w:lang w:eastAsia="en-GB"/>
        </w:rPr>
        <w:t xml:space="preserve">or </w:t>
      </w:r>
      <w:r>
        <w:rPr>
          <w:rFonts w:ascii="Helvetica Neue" w:hAnsi="Helvetica Neue"/>
          <w:i/>
          <w:color w:val="212121"/>
          <w:sz w:val="20"/>
          <w:szCs w:val="20"/>
          <w:lang w:eastAsia="en-GB"/>
        </w:rPr>
        <w:t>interactions with science professionals”</w:t>
      </w:r>
      <w:r>
        <w:rPr>
          <w:rFonts w:ascii="Helvetica Neue" w:hAnsi="Helvetica Neue"/>
          <w:b/>
          <w:i/>
          <w:color w:val="212121"/>
          <w:sz w:val="20"/>
          <w:szCs w:val="20"/>
          <w:lang w:eastAsia="en-GB"/>
        </w:rPr>
        <w:t xml:space="preserve">. </w:t>
      </w:r>
      <w:r>
        <w:rPr>
          <w:rFonts w:ascii="Helvetica Neue" w:hAnsi="Helvetica Neue"/>
          <w:color w:val="212121"/>
          <w:sz w:val="20"/>
          <w:szCs w:val="20"/>
          <w:lang w:eastAsia="en-GB"/>
        </w:rPr>
        <w:t>There should be an expectation that students are able to experience their science within an appropriate context, but there are issues with being able to support access to placements for all students. Alternatives could include supplementary shorter visits and meetings with those working in industry. We would recommend that the final bullet point on the list is rephrased as it currently states “</w:t>
      </w:r>
      <w:r>
        <w:rPr>
          <w:rFonts w:ascii="Helvetica Neue" w:hAnsi="Helvetica Neue"/>
          <w:i/>
          <w:color w:val="212121"/>
          <w:sz w:val="20"/>
          <w:szCs w:val="20"/>
          <w:lang w:eastAsia="en-GB"/>
        </w:rPr>
        <w:t xml:space="preserve">use of distance-learning materials, including electronic multimedia, video, recordings and broadcasts”; </w:t>
      </w:r>
      <w:r>
        <w:rPr>
          <w:rFonts w:ascii="Helvetica Neue" w:hAnsi="Helvetica Neue"/>
          <w:color w:val="212121"/>
          <w:sz w:val="20"/>
          <w:szCs w:val="20"/>
          <w:lang w:eastAsia="en-GB"/>
        </w:rPr>
        <w:t>these modes of learning are commonly used as part of direct teaching in lectures and seminar sessions - they are not limited to distance learning.</w:t>
      </w:r>
    </w:p>
    <w:p w:rsidR="00CC0C0C" w:rsidRDefault="00CC0C0C" w:rsidP="00CC0C0C">
      <w:pPr>
        <w:shd w:val="clear" w:color="auto" w:fill="FFFFFF"/>
        <w:rPr>
          <w:rFonts w:ascii="Segoe UI" w:hAnsi="Segoe UI" w:cs="Segoe UI"/>
          <w:color w:val="212121"/>
          <w:sz w:val="23"/>
          <w:szCs w:val="23"/>
          <w:lang w:eastAsia="en-GB"/>
        </w:rPr>
      </w:pPr>
      <w:r>
        <w:rPr>
          <w:rFonts w:ascii="Arial" w:hAnsi="Arial" w:cs="Arial"/>
          <w:b/>
          <w:bCs/>
          <w:color w:val="212121"/>
          <w:lang w:eastAsia="en-GB"/>
        </w:rPr>
        <w:t>Does the benchmark standards section successfully articulate what is expected of a graduate in the subject area in terms of a threshold level of attainment (and where relevant, typical and excellent attainment)?</w:t>
      </w:r>
    </w:p>
    <w:p w:rsidR="00CC0C0C" w:rsidRDefault="00CC0C0C" w:rsidP="00CC0C0C">
      <w:pPr>
        <w:shd w:val="clear" w:color="auto" w:fill="FFFFFF"/>
        <w:rPr>
          <w:rFonts w:ascii="Segoe UI" w:hAnsi="Segoe UI" w:cs="Segoe UI"/>
          <w:color w:val="212121"/>
          <w:sz w:val="23"/>
          <w:szCs w:val="23"/>
          <w:lang w:eastAsia="en-GB"/>
        </w:rPr>
      </w:pPr>
      <w:r>
        <w:rPr>
          <w:rFonts w:ascii="Arial" w:hAnsi="Arial" w:cs="Arial"/>
          <w:color w:val="212121"/>
          <w:u w:val="single"/>
          <w:lang w:eastAsia="en-GB"/>
        </w:rPr>
        <w:t>Yes</w:t>
      </w:r>
    </w:p>
    <w:p w:rsidR="00CC0C0C" w:rsidRDefault="00CC0C0C" w:rsidP="00CC0C0C">
      <w:pPr>
        <w:shd w:val="clear" w:color="auto" w:fill="FFFFFF"/>
        <w:rPr>
          <w:rFonts w:ascii="Segoe UI" w:hAnsi="Segoe UI" w:cs="Segoe UI"/>
          <w:color w:val="212121"/>
          <w:sz w:val="23"/>
          <w:szCs w:val="23"/>
          <w:lang w:eastAsia="en-GB"/>
        </w:rPr>
      </w:pPr>
      <w:r>
        <w:rPr>
          <w:rFonts w:ascii="Arial" w:hAnsi="Arial" w:cs="Arial"/>
          <w:color w:val="212121"/>
          <w:lang w:eastAsia="en-GB"/>
        </w:rPr>
        <w:t>No</w:t>
      </w:r>
    </w:p>
    <w:p w:rsidR="00CC0C0C" w:rsidRPr="00CC0C0C" w:rsidRDefault="00CC0C0C" w:rsidP="00CC0C0C">
      <w:pPr>
        <w:shd w:val="clear" w:color="auto" w:fill="FFFFFF"/>
        <w:rPr>
          <w:rFonts w:ascii="Segoe UI" w:hAnsi="Segoe UI" w:cs="Segoe UI"/>
          <w:color w:val="212121"/>
          <w:sz w:val="23"/>
          <w:szCs w:val="23"/>
          <w:lang w:eastAsia="en-GB"/>
        </w:rPr>
      </w:pPr>
      <w:r>
        <w:rPr>
          <w:rFonts w:ascii="Arial" w:hAnsi="Arial" w:cs="Arial"/>
          <w:color w:val="212121"/>
          <w:lang w:eastAsia="en-GB"/>
        </w:rPr>
        <w:t>Please add further comment</w:t>
      </w:r>
    </w:p>
    <w:p w:rsidR="00CC0C0C" w:rsidRDefault="00CC0C0C" w:rsidP="00CC0C0C">
      <w:pPr>
        <w:shd w:val="clear" w:color="auto" w:fill="FFFFFF"/>
        <w:rPr>
          <w:rFonts w:ascii="Helvetica Neue" w:hAnsi="Helvetica Neue"/>
          <w:sz w:val="20"/>
          <w:szCs w:val="20"/>
          <w:lang w:eastAsia="en-GB"/>
        </w:rPr>
      </w:pPr>
      <w:r>
        <w:rPr>
          <w:rFonts w:ascii="Helvetica Neue" w:hAnsi="Helvetica Neue"/>
          <w:sz w:val="20"/>
          <w:szCs w:val="20"/>
          <w:lang w:eastAsia="en-GB"/>
        </w:rPr>
        <w:t>For the benchmark addressing the molecular aspects of biology, including biochemistry, the threshold standard point 7.</w:t>
      </w:r>
      <w:r w:rsidRPr="00995C8E">
        <w:rPr>
          <w:rFonts w:ascii="Helvetica Neue" w:hAnsi="Helvetica Neue"/>
          <w:i/>
          <w:sz w:val="20"/>
          <w:szCs w:val="20"/>
          <w:lang w:eastAsia="en-GB"/>
        </w:rPr>
        <w:t>10 ‘</w:t>
      </w:r>
      <w:proofErr w:type="gramStart"/>
      <w:r w:rsidRPr="00995C8E">
        <w:rPr>
          <w:rFonts w:ascii="Helvetica Neue" w:hAnsi="Helvetica Neue"/>
          <w:i/>
          <w:sz w:val="20"/>
          <w:szCs w:val="20"/>
          <w:lang w:eastAsia="en-GB"/>
        </w:rPr>
        <w:t>iv</w:t>
      </w:r>
      <w:proofErr w:type="gramEnd"/>
      <w:r w:rsidRPr="00995C8E">
        <w:rPr>
          <w:rFonts w:ascii="Helvetica Neue" w:hAnsi="Helvetica Neue"/>
          <w:i/>
          <w:sz w:val="20"/>
          <w:szCs w:val="20"/>
          <w:lang w:eastAsia="en-GB"/>
        </w:rPr>
        <w:t>) explain how the principles of genetics underlie much of the basis of molecular biology’</w:t>
      </w:r>
      <w:r>
        <w:rPr>
          <w:rFonts w:ascii="Helvetica Neue" w:hAnsi="Helvetica Neue"/>
          <w:sz w:val="20"/>
          <w:szCs w:val="20"/>
          <w:lang w:eastAsia="en-GB"/>
        </w:rPr>
        <w:t>, was queried whether it is explicitly clear what the principles of genetics are. For example, will these be standardised across the breadth of the biosciences and is there a way in which the “principles” can be referenced?</w:t>
      </w:r>
    </w:p>
    <w:p w:rsidR="00CC0C0C" w:rsidRDefault="00CC0C0C" w:rsidP="00CC0C0C">
      <w:pPr>
        <w:shd w:val="clear" w:color="auto" w:fill="FFFFFF"/>
        <w:rPr>
          <w:rFonts w:ascii="Helvetica Neue" w:hAnsi="Helvetica Neue"/>
          <w:sz w:val="20"/>
          <w:szCs w:val="20"/>
          <w:lang w:eastAsia="en-GB"/>
        </w:rPr>
      </w:pPr>
      <w:r>
        <w:rPr>
          <w:rFonts w:ascii="Helvetica Neue" w:hAnsi="Helvetica Neue"/>
          <w:sz w:val="20"/>
          <w:szCs w:val="20"/>
          <w:lang w:eastAsia="en-GB"/>
        </w:rPr>
        <w:t>Under the typical standard point ‘</w:t>
      </w:r>
      <w:r w:rsidRPr="00995C8E">
        <w:rPr>
          <w:rFonts w:ascii="Helvetica Neue" w:hAnsi="Helvetica Neue"/>
          <w:i/>
          <w:sz w:val="20"/>
          <w:szCs w:val="20"/>
          <w:lang w:eastAsia="en-GB"/>
        </w:rPr>
        <w:t>7.11ix) demonstrate the ability to mine, manipulate and interpret data from small molecule and macromolecular databases’</w:t>
      </w:r>
      <w:r>
        <w:rPr>
          <w:rFonts w:ascii="Helvetica Neue" w:hAnsi="Helvetica Neue"/>
          <w:sz w:val="20"/>
          <w:szCs w:val="20"/>
          <w:lang w:eastAsia="en-GB"/>
        </w:rPr>
        <w:t>, it has been raised that biochemists will not necessarily be exposed to small molecule databases but would be familiar with macromolecule databases. The point could perhaps be rephrased to “demonstrate an ability to mine, manipulate and interpret data from molecule databases (this could be small molecules or macromolecules)”.</w:t>
      </w:r>
    </w:p>
    <w:p w:rsidR="00CC0C0C" w:rsidRPr="00CC0C0C" w:rsidRDefault="00CC0C0C" w:rsidP="00CC0C0C">
      <w:pPr>
        <w:shd w:val="clear" w:color="auto" w:fill="FFFFFF"/>
        <w:rPr>
          <w:rFonts w:ascii="Helvetica Neue" w:hAnsi="Helvetica Neue"/>
          <w:sz w:val="20"/>
          <w:szCs w:val="20"/>
          <w:lang w:eastAsia="en-GB"/>
        </w:rPr>
      </w:pPr>
      <w:r>
        <w:rPr>
          <w:rFonts w:ascii="Helvetica Neue" w:hAnsi="Helvetica Neue"/>
          <w:sz w:val="20"/>
          <w:szCs w:val="20"/>
          <w:lang w:eastAsia="en-GB"/>
        </w:rPr>
        <w:t xml:space="preserve">Responses from the British Ecological Society (BES) and UK Plant Sciences Federation (UKPSF) regarding the benchmarks for Ecology and Environmental Biology noted that this section does not directly mention fieldwork skills (although referenced throughout the rest of the benchmark). We suggest that the following statement is included for clarity, “Practical fieldwork skills including but not limited to ecological survey techniques, identification of organisms and ecological impact assessments”. They particularly recommend the inclusion of identification skills as this has been shown to be a major skills gap by the Chartered Institute of Ecology and Environmental Management in their report </w:t>
      </w:r>
      <w:r>
        <w:rPr>
          <w:rFonts w:ascii="Helvetica Neue" w:hAnsi="Helvetica Neue"/>
          <w:color w:val="212121"/>
          <w:sz w:val="20"/>
          <w:szCs w:val="20"/>
          <w:lang w:eastAsia="en-GB"/>
        </w:rPr>
        <w:t>“</w:t>
      </w:r>
      <w:hyperlink r:id="rId9" w:history="1">
        <w:r w:rsidRPr="00995C8E">
          <w:rPr>
            <w:rStyle w:val="Hyperlink"/>
            <w:rFonts w:ascii="Helvetica Neue" w:hAnsi="Helvetica Neue"/>
            <w:i/>
            <w:sz w:val="20"/>
            <w:szCs w:val="20"/>
          </w:rPr>
          <w:t>Ecological skills shaping the profession for the 21</w:t>
        </w:r>
        <w:r w:rsidRPr="00995C8E">
          <w:rPr>
            <w:rStyle w:val="Hyperlink"/>
            <w:rFonts w:ascii="Helvetica Neue" w:hAnsi="Helvetica Neue"/>
            <w:i/>
            <w:sz w:val="20"/>
            <w:szCs w:val="20"/>
            <w:vertAlign w:val="superscript"/>
          </w:rPr>
          <w:t>st</w:t>
        </w:r>
        <w:r w:rsidRPr="00995C8E">
          <w:rPr>
            <w:rStyle w:val="Hyperlink"/>
            <w:rFonts w:ascii="Helvetica Neue" w:hAnsi="Helvetica Neue"/>
            <w:i/>
            <w:sz w:val="20"/>
            <w:szCs w:val="20"/>
          </w:rPr>
          <w:t xml:space="preserve"> century</w:t>
        </w:r>
      </w:hyperlink>
      <w:r>
        <w:rPr>
          <w:rFonts w:ascii="Helvetica Neue" w:hAnsi="Helvetica Neue"/>
          <w:sz w:val="20"/>
          <w:szCs w:val="20"/>
        </w:rPr>
        <w:t>” and the “</w:t>
      </w:r>
      <w:hyperlink r:id="rId10" w:history="1">
        <w:r w:rsidRPr="003753FE">
          <w:rPr>
            <w:rStyle w:val="Hyperlink"/>
            <w:rFonts w:ascii="Helvetica Neue" w:hAnsi="Helvetica Neue"/>
            <w:i/>
            <w:sz w:val="20"/>
            <w:szCs w:val="20"/>
          </w:rPr>
          <w:t>UK Plant Science Current status and future challenges</w:t>
        </w:r>
      </w:hyperlink>
      <w:r>
        <w:rPr>
          <w:rFonts w:ascii="Helvetica Neue" w:hAnsi="Helvetica Neue"/>
          <w:sz w:val="20"/>
          <w:szCs w:val="20"/>
        </w:rPr>
        <w:t xml:space="preserve">” report. </w:t>
      </w:r>
    </w:p>
    <w:p w:rsidR="00CC0C0C" w:rsidRPr="00CC0C0C" w:rsidRDefault="00CC0C0C" w:rsidP="00CC0C0C">
      <w:pPr>
        <w:shd w:val="clear" w:color="auto" w:fill="FFFFFF"/>
        <w:rPr>
          <w:rFonts w:ascii="Helvetica Neue" w:hAnsi="Helvetica Neue"/>
          <w:sz w:val="20"/>
          <w:szCs w:val="20"/>
          <w:lang w:eastAsia="en-GB"/>
        </w:rPr>
      </w:pPr>
      <w:r w:rsidRPr="001D019E">
        <w:rPr>
          <w:rFonts w:ascii="Helvetica Neue" w:hAnsi="Helvetica Neue"/>
          <w:sz w:val="20"/>
          <w:szCs w:val="20"/>
          <w:lang w:eastAsia="en-GB"/>
        </w:rPr>
        <w:t xml:space="preserve">Feedback on the benchmark for courses that are based on the study of organisms raised that threshold items 7.13i) </w:t>
      </w:r>
      <w:r w:rsidRPr="001D019E">
        <w:rPr>
          <w:rFonts w:ascii="Helvetica Neue" w:hAnsi="Helvetica Neue"/>
          <w:i/>
          <w:sz w:val="20"/>
          <w:szCs w:val="20"/>
          <w:lang w:eastAsia="en-GB"/>
        </w:rPr>
        <w:t xml:space="preserve">describe the structure, diversity and reproduction of the organism studied </w:t>
      </w:r>
      <w:r w:rsidRPr="001D019E">
        <w:rPr>
          <w:rFonts w:ascii="Helvetica Neue" w:hAnsi="Helvetica Neue"/>
          <w:sz w:val="20"/>
          <w:szCs w:val="20"/>
          <w:lang w:eastAsia="en-GB"/>
        </w:rPr>
        <w:t xml:space="preserve">and 7.13ii) </w:t>
      </w:r>
      <w:r w:rsidRPr="001D019E">
        <w:rPr>
          <w:rFonts w:ascii="Helvetica Neue" w:hAnsi="Helvetica Neue"/>
          <w:i/>
          <w:sz w:val="20"/>
          <w:szCs w:val="20"/>
          <w:lang w:eastAsia="en-GB"/>
        </w:rPr>
        <w:t>describe basic organism structure and diversity</w:t>
      </w:r>
      <w:r w:rsidRPr="001D019E">
        <w:rPr>
          <w:rFonts w:ascii="Helvetica Neue" w:hAnsi="Helvetica Neue"/>
          <w:sz w:val="20"/>
          <w:szCs w:val="20"/>
          <w:lang w:eastAsia="en-GB"/>
        </w:rPr>
        <w:t xml:space="preserve">, did not map forward at the typical standard with items 7.14i) </w:t>
      </w:r>
      <w:r w:rsidRPr="001D019E">
        <w:rPr>
          <w:rFonts w:ascii="Helvetica Neue" w:hAnsi="Helvetica Neue"/>
          <w:i/>
          <w:sz w:val="20"/>
          <w:szCs w:val="20"/>
          <w:lang w:eastAsia="en-GB"/>
        </w:rPr>
        <w:t>critically analyse the impact of external influences on growth and reproduction, and explain reproductive strategies</w:t>
      </w:r>
      <w:r>
        <w:rPr>
          <w:rFonts w:ascii="Helvetica Neue" w:hAnsi="Helvetica Neue"/>
          <w:i/>
          <w:sz w:val="20"/>
          <w:szCs w:val="20"/>
          <w:lang w:eastAsia="en-GB"/>
        </w:rPr>
        <w:t xml:space="preserve"> </w:t>
      </w:r>
      <w:r>
        <w:rPr>
          <w:rFonts w:ascii="Helvetica Neue" w:hAnsi="Helvetica Neue"/>
          <w:sz w:val="20"/>
          <w:szCs w:val="20"/>
          <w:lang w:eastAsia="en-GB"/>
        </w:rPr>
        <w:t>and</w:t>
      </w:r>
      <w:r w:rsidRPr="001D019E">
        <w:rPr>
          <w:rFonts w:ascii="Helvetica Neue" w:hAnsi="Helvetica Neue"/>
          <w:i/>
          <w:sz w:val="20"/>
          <w:szCs w:val="20"/>
          <w:lang w:eastAsia="en-GB"/>
        </w:rPr>
        <w:t xml:space="preserve"> </w:t>
      </w:r>
      <w:r w:rsidRPr="001D019E">
        <w:rPr>
          <w:rFonts w:ascii="Helvetica Neue" w:hAnsi="Helvetica Neue"/>
          <w:sz w:val="20"/>
          <w:szCs w:val="20"/>
          <w:lang w:eastAsia="en-GB"/>
        </w:rPr>
        <w:t xml:space="preserve">7.14ii) </w:t>
      </w:r>
      <w:r w:rsidRPr="001D019E">
        <w:rPr>
          <w:rFonts w:ascii="Helvetica Neue" w:hAnsi="Helvetica Neue"/>
          <w:i/>
          <w:sz w:val="20"/>
          <w:szCs w:val="20"/>
          <w:lang w:eastAsia="en-GB"/>
        </w:rPr>
        <w:t xml:space="preserve">critically recount the interactions of structure and metabolic function at cellular and organismal level. </w:t>
      </w:r>
      <w:r w:rsidRPr="001D019E">
        <w:rPr>
          <w:rFonts w:ascii="Helvetica Neue" w:hAnsi="Helvetica Neue"/>
          <w:sz w:val="20"/>
          <w:szCs w:val="20"/>
          <w:lang w:eastAsia="en-GB"/>
        </w:rPr>
        <w:t>It was also felt that threshold items 7.13i) and 7.13ii) were very similar and could be combined.</w:t>
      </w:r>
    </w:p>
    <w:p w:rsidR="00CC0C0C" w:rsidRPr="00CC0C0C" w:rsidRDefault="00CC0C0C" w:rsidP="00CC0C0C">
      <w:pPr>
        <w:shd w:val="clear" w:color="auto" w:fill="FFFFFF"/>
        <w:rPr>
          <w:rFonts w:ascii="Helvetica Neue" w:hAnsi="Helvetica Neue"/>
          <w:sz w:val="20"/>
          <w:szCs w:val="20"/>
          <w:lang w:eastAsia="en-GB"/>
        </w:rPr>
      </w:pPr>
      <w:r>
        <w:rPr>
          <w:rFonts w:ascii="Helvetica Neue" w:hAnsi="Helvetica Neue"/>
          <w:sz w:val="20"/>
          <w:szCs w:val="20"/>
          <w:lang w:eastAsia="en-GB"/>
        </w:rPr>
        <w:t xml:space="preserve">It was also noted by some respondents that within the typical benchmark statements the word “critical” is used frequently; they felt that this is perhaps an aspirational goal for some students, as they felt that a typical student may not be able to demonstrate critical thinking in a broad range of areas. </w:t>
      </w:r>
    </w:p>
    <w:p w:rsidR="00CC0C0C" w:rsidRPr="00CC0C0C" w:rsidRDefault="00CC0C0C" w:rsidP="00CC0C0C">
      <w:pPr>
        <w:shd w:val="clear" w:color="auto" w:fill="FFFFFF"/>
        <w:rPr>
          <w:rFonts w:ascii="Segoe UI" w:hAnsi="Segoe UI" w:cs="Segoe UI"/>
          <w:color w:val="212121"/>
          <w:sz w:val="23"/>
          <w:szCs w:val="23"/>
          <w:lang w:eastAsia="en-GB"/>
        </w:rPr>
      </w:pPr>
      <w:r>
        <w:rPr>
          <w:rFonts w:ascii="Arial" w:hAnsi="Arial" w:cs="Arial"/>
          <w:b/>
          <w:bCs/>
          <w:color w:val="212121"/>
          <w:lang w:eastAsia="en-GB"/>
        </w:rPr>
        <w:t>Please use this space to add any further observations relating to the revised subject benchmark statement not covered in the questions above.</w:t>
      </w:r>
    </w:p>
    <w:p w:rsidR="0094259E" w:rsidRPr="00CC0C0C" w:rsidRDefault="00CC0C0C" w:rsidP="00CC0C0C">
      <w:pPr>
        <w:rPr>
          <w:rFonts w:ascii="Helvetica Neue" w:hAnsi="Helvetica Neue"/>
          <w:sz w:val="20"/>
          <w:szCs w:val="20"/>
        </w:rPr>
      </w:pPr>
      <w:r>
        <w:rPr>
          <w:rFonts w:ascii="Helvetica Neue" w:hAnsi="Helvetica Neue"/>
          <w:sz w:val="20"/>
          <w:szCs w:val="20"/>
        </w:rPr>
        <w:t>Since the production of this document, the Society of Biology has been granted the use of the Royal title and is now known as the Royal Society of Biology. Where the Society is named within the document it should be updated to the Royal Society of Biology.</w:t>
      </w:r>
    </w:p>
    <w:sectPr w:rsidR="0094259E" w:rsidRPr="00CC0C0C" w:rsidSect="004A6E3B">
      <w:headerReference w:type="even" r:id="rId11"/>
      <w:headerReference w:type="default" r:id="rId12"/>
      <w:footerReference w:type="default" r:id="rId13"/>
      <w:headerReference w:type="first" r:id="rId14"/>
      <w:footerReference w:type="first" r:id="rId15"/>
      <w:pgSz w:w="11900" w:h="16840"/>
      <w:pgMar w:top="720" w:right="720" w:bottom="720" w:left="720" w:header="426" w:footer="71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425" w:rsidRDefault="009F5425">
      <w:r>
        <w:separator/>
      </w:r>
    </w:p>
  </w:endnote>
  <w:endnote w:type="continuationSeparator" w:id="0">
    <w:p w:rsidR="009F5425" w:rsidRDefault="009F5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Neue">
    <w:charset w:val="00"/>
    <w:family w:val="auto"/>
    <w:pitch w:val="variable"/>
    <w:sig w:usb0="80000067"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E3B" w:rsidRPr="004A6E3B" w:rsidRDefault="004A6E3B">
    <w:pPr>
      <w:pStyle w:val="Footer"/>
      <w:jc w:val="center"/>
      <w:rPr>
        <w:rFonts w:ascii="Helvetica Neue" w:hAnsi="Helvetica Neue"/>
      </w:rPr>
    </w:pPr>
    <w:r w:rsidRPr="004A6E3B">
      <w:rPr>
        <w:rFonts w:ascii="Helvetica Neue" w:hAnsi="Helvetica Neue"/>
      </w:rPr>
      <w:fldChar w:fldCharType="begin"/>
    </w:r>
    <w:r w:rsidRPr="004A6E3B">
      <w:rPr>
        <w:rFonts w:ascii="Helvetica Neue" w:hAnsi="Helvetica Neue"/>
      </w:rPr>
      <w:instrText xml:space="preserve"> PAGE   \* MERGEFORMAT </w:instrText>
    </w:r>
    <w:r w:rsidRPr="004A6E3B">
      <w:rPr>
        <w:rFonts w:ascii="Helvetica Neue" w:hAnsi="Helvetica Neue"/>
      </w:rPr>
      <w:fldChar w:fldCharType="separate"/>
    </w:r>
    <w:r w:rsidR="00CC0C0C">
      <w:rPr>
        <w:rFonts w:ascii="Helvetica Neue" w:hAnsi="Helvetica Neue"/>
        <w:noProof/>
      </w:rPr>
      <w:t>2</w:t>
    </w:r>
    <w:r w:rsidRPr="004A6E3B">
      <w:rPr>
        <w:rFonts w:ascii="Helvetica Neue" w:hAnsi="Helvetica Neue"/>
        <w:noProof/>
      </w:rPr>
      <w:fldChar w:fldCharType="end"/>
    </w:r>
  </w:p>
  <w:p w:rsidR="003A2B61" w:rsidRPr="00054E86" w:rsidRDefault="003A2B61" w:rsidP="00124B50">
    <w:pPr>
      <w:pStyle w:val="Footer"/>
      <w:tabs>
        <w:tab w:val="clear" w:pos="4320"/>
        <w:tab w:val="clear" w:pos="8640"/>
        <w:tab w:val="left" w:pos="7088"/>
      </w:tabs>
      <w:rPr>
        <w:color w:val="05275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B61" w:rsidRDefault="00F84473" w:rsidP="00124B50">
    <w:pPr>
      <w:pStyle w:val="Footer"/>
      <w:spacing w:after="120"/>
      <w:rPr>
        <w:rFonts w:ascii="Arial" w:hAnsi="Arial" w:cs="Arial"/>
        <w:color w:val="0000FF"/>
        <w:sz w:val="20"/>
        <w:szCs w:val="20"/>
        <w:u w:val="single"/>
      </w:rPr>
    </w:pPr>
    <w:r>
      <w:rPr>
        <w:rFonts w:ascii="Arial" w:hAnsi="Arial" w:cs="Arial"/>
        <w:sz w:val="20"/>
        <w:szCs w:val="20"/>
      </w:rPr>
      <w:t xml:space="preserve">Charles Darwin House, 12 Roger Street, London WC1N </w:t>
    </w:r>
    <w:proofErr w:type="gramStart"/>
    <w:r>
      <w:rPr>
        <w:rFonts w:ascii="Arial" w:hAnsi="Arial" w:cs="Arial"/>
        <w:sz w:val="20"/>
        <w:szCs w:val="20"/>
      </w:rPr>
      <w:t>2JU</w:t>
    </w:r>
    <w:r w:rsidR="003A2B61" w:rsidRPr="00124B50">
      <w:rPr>
        <w:rFonts w:ascii="Arial" w:hAnsi="Arial" w:cs="Arial"/>
        <w:sz w:val="20"/>
        <w:szCs w:val="20"/>
      </w:rPr>
      <w:t xml:space="preserve">  Tel</w:t>
    </w:r>
    <w:proofErr w:type="gramEnd"/>
    <w:r w:rsidR="003A2B61" w:rsidRPr="00124B50">
      <w:rPr>
        <w:rFonts w:ascii="Arial" w:hAnsi="Arial" w:cs="Arial"/>
        <w:sz w:val="20"/>
        <w:szCs w:val="20"/>
      </w:rPr>
      <w:t>: +44 (0)20 7</w:t>
    </w:r>
    <w:r>
      <w:rPr>
        <w:rFonts w:ascii="Arial" w:hAnsi="Arial" w:cs="Arial"/>
        <w:sz w:val="20"/>
        <w:szCs w:val="20"/>
      </w:rPr>
      <w:t>685</w:t>
    </w:r>
    <w:r w:rsidR="003A2B61" w:rsidRPr="00124B50">
      <w:rPr>
        <w:rFonts w:ascii="Arial" w:hAnsi="Arial" w:cs="Arial"/>
        <w:sz w:val="20"/>
        <w:szCs w:val="20"/>
      </w:rPr>
      <w:t xml:space="preserve"> </w:t>
    </w:r>
    <w:r>
      <w:rPr>
        <w:rFonts w:ascii="Arial" w:hAnsi="Arial" w:cs="Arial"/>
        <w:sz w:val="20"/>
        <w:szCs w:val="20"/>
      </w:rPr>
      <w:t>2550</w:t>
    </w:r>
    <w:r w:rsidR="003A2B61" w:rsidRPr="00124B50">
      <w:rPr>
        <w:rFonts w:ascii="Arial" w:hAnsi="Arial" w:cs="Arial"/>
        <w:sz w:val="20"/>
        <w:szCs w:val="20"/>
      </w:rPr>
      <w:t xml:space="preserve">  </w:t>
    </w:r>
    <w:hyperlink r:id="rId1" w:history="1">
      <w:r w:rsidR="0094787A" w:rsidRPr="001E663B">
        <w:rPr>
          <w:rStyle w:val="Hyperlink"/>
          <w:rFonts w:ascii="Arial" w:hAnsi="Arial" w:cs="Arial"/>
          <w:sz w:val="20"/>
          <w:szCs w:val="20"/>
        </w:rPr>
        <w:t>info@rsb.org.uk</w:t>
      </w:r>
    </w:hyperlink>
  </w:p>
  <w:p w:rsidR="0094787A" w:rsidRPr="00124B50" w:rsidRDefault="0094787A" w:rsidP="00124B50">
    <w:pPr>
      <w:pStyle w:val="Footer"/>
      <w:spacing w:after="120"/>
      <w:rPr>
        <w:rFonts w:ascii="Arial" w:hAnsi="Arial" w:cs="Arial"/>
        <w:sz w:val="20"/>
        <w:szCs w:val="20"/>
      </w:rPr>
    </w:pPr>
    <w:r>
      <w:rPr>
        <w:rFonts w:ascii="Arial" w:hAnsi="Arial" w:cs="Arial"/>
        <w:color w:val="0000FF"/>
        <w:sz w:val="20"/>
        <w:szCs w:val="20"/>
        <w:u w:val="single"/>
      </w:rPr>
      <w:t>www.rsb.org.uk</w:t>
    </w:r>
  </w:p>
  <w:p w:rsidR="003A2B61" w:rsidRDefault="003A2B61" w:rsidP="00124B50">
    <w:pPr>
      <w:pStyle w:val="Footer"/>
      <w:shd w:val="clear" w:color="auto" w:fill="000090"/>
      <w:ind w:right="30"/>
      <w:rPr>
        <w:rFonts w:ascii="Arial" w:hAnsi="Arial"/>
        <w:color w:val="00AE00"/>
        <w:sz w:val="20"/>
        <w:szCs w:val="20"/>
      </w:rPr>
    </w:pPr>
  </w:p>
  <w:p w:rsidR="003A2B61" w:rsidRDefault="003A2B61" w:rsidP="00124B50">
    <w:pPr>
      <w:pStyle w:val="Footer"/>
      <w:shd w:val="clear" w:color="auto" w:fill="000090"/>
      <w:ind w:right="30"/>
      <w:rPr>
        <w:rFonts w:ascii="Arial" w:hAnsi="Arial"/>
        <w:color w:val="FFFFFF"/>
        <w:sz w:val="20"/>
        <w:szCs w:val="20"/>
      </w:rPr>
    </w:pPr>
    <w:r>
      <w:rPr>
        <w:rFonts w:ascii="Arial" w:hAnsi="Arial"/>
        <w:color w:val="FFFFFF"/>
        <w:sz w:val="20"/>
        <w:szCs w:val="20"/>
      </w:rPr>
      <w:t xml:space="preserve"> Registered Charity No.277981 Incorporated by Royal Charter</w:t>
    </w:r>
  </w:p>
  <w:p w:rsidR="003A2B61" w:rsidRDefault="003A2B61" w:rsidP="00124B50">
    <w:pPr>
      <w:pStyle w:val="Footer"/>
      <w:shd w:val="clear" w:color="auto" w:fill="000090"/>
      <w:ind w:right="30"/>
      <w:rPr>
        <w:rFonts w:ascii="Arial" w:hAnsi="Arial"/>
        <w:color w:val="00AE00"/>
        <w:sz w:val="18"/>
        <w:szCs w:val="18"/>
      </w:rPr>
    </w:pPr>
  </w:p>
  <w:p w:rsidR="003A2B61" w:rsidRDefault="003A2B61" w:rsidP="00124B5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425" w:rsidRDefault="009F5425">
      <w:r>
        <w:separator/>
      </w:r>
    </w:p>
  </w:footnote>
  <w:footnote w:type="continuationSeparator" w:id="0">
    <w:p w:rsidR="009F5425" w:rsidRDefault="009F54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B61" w:rsidRDefault="003A2B61" w:rsidP="0077320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A2B61" w:rsidRDefault="003A2B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B61" w:rsidRPr="00054E86" w:rsidRDefault="0094787A" w:rsidP="00124B50">
    <w:pPr>
      <w:pStyle w:val="Header"/>
      <w:tabs>
        <w:tab w:val="clear" w:pos="8640"/>
        <w:tab w:val="left" w:pos="7088"/>
      </w:tabs>
      <w:rPr>
        <w:rFonts w:ascii="Arial" w:hAnsi="Arial"/>
        <w:color w:val="052754"/>
        <w:sz w:val="18"/>
      </w:rPr>
    </w:pPr>
    <w:r>
      <w:rPr>
        <w:rFonts w:ascii="Arial" w:hAnsi="Arial"/>
        <w:noProof/>
        <w:sz w:val="18"/>
        <w:lang w:eastAsia="en-GB"/>
      </w:rPr>
      <w:drawing>
        <wp:anchor distT="0" distB="0" distL="114300" distR="114300" simplePos="0" relativeHeight="251660800" behindDoc="0" locked="0" layoutInCell="1" allowOverlap="1" wp14:anchorId="6CFE43B7" wp14:editId="7178A8A2">
          <wp:simplePos x="0" y="0"/>
          <wp:positionH relativeFrom="column">
            <wp:posOffset>4495800</wp:posOffset>
          </wp:positionH>
          <wp:positionV relativeFrom="paragraph">
            <wp:posOffset>-64135</wp:posOffset>
          </wp:positionV>
          <wp:extent cx="1716405" cy="74803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B_pos 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6405" cy="748030"/>
                  </a:xfrm>
                  <a:prstGeom prst="rect">
                    <a:avLst/>
                  </a:prstGeom>
                </pic:spPr>
              </pic:pic>
            </a:graphicData>
          </a:graphic>
          <wp14:sizeRelH relativeFrom="page">
            <wp14:pctWidth>0</wp14:pctWidth>
          </wp14:sizeRelH>
          <wp14:sizeRelV relativeFrom="page">
            <wp14:pctHeight>0</wp14:pctHeight>
          </wp14:sizeRelV>
        </wp:anchor>
      </w:drawing>
    </w:r>
    <w:r w:rsidR="003C08F9">
      <w:rPr>
        <w:rFonts w:ascii="Arial" w:hAnsi="Arial"/>
        <w:noProof/>
        <w:sz w:val="18"/>
        <w:szCs w:val="20"/>
        <w:lang w:eastAsia="en-GB"/>
      </w:rPr>
      <mc:AlternateContent>
        <mc:Choice Requires="wps">
          <w:drawing>
            <wp:anchor distT="0" distB="0" distL="114300" distR="114300" simplePos="0" relativeHeight="251656704" behindDoc="0" locked="0" layoutInCell="1" allowOverlap="1" wp14:anchorId="3CEA30EF" wp14:editId="7F6411D1">
              <wp:simplePos x="0" y="0"/>
              <wp:positionH relativeFrom="column">
                <wp:posOffset>4408805</wp:posOffset>
              </wp:positionH>
              <wp:positionV relativeFrom="paragraph">
                <wp:posOffset>-86360</wp:posOffset>
              </wp:positionV>
              <wp:extent cx="1847850" cy="703580"/>
              <wp:effectExtent l="0" t="0" r="127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703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2B61" w:rsidRDefault="003C08F9">
                          <w:r>
                            <w:rPr>
                              <w:rFonts w:ascii="Arial" w:hAnsi="Arial"/>
                              <w:noProof/>
                              <w:sz w:val="18"/>
                              <w:lang w:eastAsia="en-GB"/>
                            </w:rPr>
                            <w:drawing>
                              <wp:inline distT="0" distB="0" distL="0" distR="0" wp14:anchorId="08BACF87" wp14:editId="01B8122A">
                                <wp:extent cx="1670050" cy="612140"/>
                                <wp:effectExtent l="0" t="0" r="6350" b="0"/>
                                <wp:docPr id="6" name="Picture 1" descr="logo 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gb_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0050" cy="6121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47.15pt;margin-top:-6.8pt;width:145.5pt;height:5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" stroked="f">
              <v:textbox>
                <w:txbxContent>
                  <w:p w:rsidR="003A2B61" w:rsidRDefault="003C08F9">
                    <w:r>
                      <w:rPr>
                        <w:rFonts w:ascii="Arial" w:hAnsi="Arial"/>
                        <w:noProof/>
                        <w:sz w:val="18"/>
                        <w:lang w:eastAsia="en-GB"/>
                      </w:rPr>
                      <w:drawing>
                        <wp:inline distT="0" distB="0" distL="0" distR="0" wp14:anchorId="08BACF87" wp14:editId="01B8122A">
                          <wp:extent cx="1670050" cy="612140"/>
                          <wp:effectExtent l="0" t="0" r="6350" b="0"/>
                          <wp:docPr id="6" name="Picture 1" descr="logo 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gb_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0050" cy="612140"/>
                                  </a:xfrm>
                                  <a:prstGeom prst="rect">
                                    <a:avLst/>
                                  </a:prstGeom>
                                  <a:noFill/>
                                  <a:ln>
                                    <a:noFill/>
                                  </a:ln>
                                </pic:spPr>
                              </pic:pic>
                            </a:graphicData>
                          </a:graphic>
                        </wp:inline>
                      </w:drawing>
                    </w:r>
                  </w:p>
                </w:txbxContent>
              </v:textbox>
            </v:shape>
          </w:pict>
        </mc:Fallback>
      </mc:AlternateContent>
    </w:r>
    <w:r w:rsidR="003A2B61" w:rsidRPr="00054E86">
      <w:rPr>
        <w:rFonts w:ascii="Arial" w:hAnsi="Arial"/>
        <w:sz w:val="18"/>
      </w:rPr>
      <w:tab/>
    </w:r>
    <w:r w:rsidR="003A2B61" w:rsidRPr="00054E86">
      <w:rPr>
        <w:rFonts w:ascii="Arial" w:hAnsi="Arial"/>
        <w:sz w:val="18"/>
      </w:rPr>
      <w:tab/>
    </w:r>
  </w:p>
  <w:p w:rsidR="003A2B61" w:rsidRPr="00054E86" w:rsidRDefault="003A2B61" w:rsidP="00124B50">
    <w:pPr>
      <w:pStyle w:val="Header"/>
      <w:tabs>
        <w:tab w:val="clear" w:pos="8640"/>
        <w:tab w:val="left" w:pos="7088"/>
      </w:tabs>
      <w:rPr>
        <w:rFonts w:ascii="Arial" w:hAnsi="Arial"/>
        <w:color w:val="052754"/>
        <w:sz w:val="18"/>
      </w:rPr>
    </w:pPr>
  </w:p>
  <w:p w:rsidR="003A2B61" w:rsidRPr="00054E86" w:rsidRDefault="003A2B61" w:rsidP="00124B50">
    <w:pPr>
      <w:pStyle w:val="Header"/>
      <w:tabs>
        <w:tab w:val="clear" w:pos="8640"/>
        <w:tab w:val="left" w:pos="7088"/>
      </w:tabs>
      <w:rPr>
        <w:rFonts w:ascii="Arial" w:hAnsi="Arial"/>
        <w:color w:val="052754"/>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B61" w:rsidRPr="00054E86" w:rsidRDefault="005D56A7" w:rsidP="00124B50">
    <w:pPr>
      <w:pStyle w:val="Header"/>
      <w:tabs>
        <w:tab w:val="clear" w:pos="8640"/>
        <w:tab w:val="left" w:pos="7088"/>
      </w:tabs>
      <w:ind w:left="426"/>
      <w:rPr>
        <w:rFonts w:ascii="Arial" w:hAnsi="Arial"/>
        <w:color w:val="052754"/>
        <w:sz w:val="18"/>
      </w:rPr>
    </w:pPr>
    <w:r>
      <w:rPr>
        <w:rFonts w:ascii="Arial" w:hAnsi="Arial"/>
        <w:noProof/>
        <w:sz w:val="18"/>
        <w:lang w:eastAsia="en-GB"/>
      </w:rPr>
      <w:drawing>
        <wp:anchor distT="0" distB="0" distL="114300" distR="114300" simplePos="0" relativeHeight="251658752" behindDoc="0" locked="0" layoutInCell="1" allowOverlap="1" wp14:anchorId="6963FAE7" wp14:editId="3B9D64E2">
          <wp:simplePos x="0" y="0"/>
          <wp:positionH relativeFrom="column">
            <wp:posOffset>-120650</wp:posOffset>
          </wp:positionH>
          <wp:positionV relativeFrom="paragraph">
            <wp:posOffset>-158115</wp:posOffset>
          </wp:positionV>
          <wp:extent cx="2667000" cy="116268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B_pos 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67000" cy="1162685"/>
                  </a:xfrm>
                  <a:prstGeom prst="rect">
                    <a:avLst/>
                  </a:prstGeom>
                </pic:spPr>
              </pic:pic>
            </a:graphicData>
          </a:graphic>
          <wp14:sizeRelH relativeFrom="page">
            <wp14:pctWidth>0</wp14:pctWidth>
          </wp14:sizeRelH>
          <wp14:sizeRelV relativeFrom="page">
            <wp14:pctHeight>0</wp14:pctHeight>
          </wp14:sizeRelV>
        </wp:anchor>
      </w:drawing>
    </w:r>
    <w:r w:rsidR="003A2B61" w:rsidRPr="00054E86">
      <w:rPr>
        <w:rFonts w:ascii="Arial" w:hAnsi="Arial"/>
        <w:sz w:val="18"/>
      </w:rPr>
      <w:tab/>
    </w:r>
    <w:r w:rsidR="003A2B61" w:rsidRPr="00054E86">
      <w:rPr>
        <w:rFonts w:ascii="Arial" w:hAnsi="Arial"/>
        <w:sz w:val="18"/>
      </w:rPr>
      <w:tab/>
    </w:r>
  </w:p>
  <w:p w:rsidR="003A2B61" w:rsidRDefault="003C08F9" w:rsidP="00124B50">
    <w:pPr>
      <w:pStyle w:val="Header"/>
      <w:ind w:left="426"/>
      <w:jc w:val="right"/>
    </w:pPr>
    <w:r>
      <w:rPr>
        <w:rFonts w:ascii="Arial" w:hAnsi="Arial"/>
        <w:noProof/>
        <w:sz w:val="18"/>
        <w:lang w:eastAsia="en-GB"/>
      </w:rPr>
      <mc:AlternateContent>
        <mc:Choice Requires="wps">
          <w:drawing>
            <wp:anchor distT="0" distB="0" distL="114300" distR="114300" simplePos="0" relativeHeight="251657728" behindDoc="1" locked="0" layoutInCell="1" allowOverlap="1" wp14:anchorId="2033FA56" wp14:editId="05176C9E">
              <wp:simplePos x="0" y="0"/>
              <wp:positionH relativeFrom="column">
                <wp:posOffset>12065</wp:posOffset>
              </wp:positionH>
              <wp:positionV relativeFrom="paragraph">
                <wp:posOffset>967740</wp:posOffset>
              </wp:positionV>
              <wp:extent cx="6592570" cy="0"/>
              <wp:effectExtent l="78740" t="72390" r="72390" b="8001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2570" cy="0"/>
                      </a:xfrm>
                      <a:prstGeom prst="line">
                        <a:avLst/>
                      </a:prstGeom>
                      <a:noFill/>
                      <a:ln w="144000">
                        <a:solidFill>
                          <a:srgbClr val="008000">
                            <a:alpha val="86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76.2pt" to="520.05pt,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" strokecolor="green" strokeweight="4mm">
              <v:stroke opacity="56283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758B"/>
    <w:multiLevelType w:val="hybridMultilevel"/>
    <w:tmpl w:val="6C322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DC00D9"/>
    <w:multiLevelType w:val="hybridMultilevel"/>
    <w:tmpl w:val="4412C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E07C27"/>
    <w:multiLevelType w:val="hybridMultilevel"/>
    <w:tmpl w:val="630C1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DA56F8"/>
    <w:multiLevelType w:val="hybridMultilevel"/>
    <w:tmpl w:val="2E32A176"/>
    <w:lvl w:ilvl="0" w:tplc="A6FC9492">
      <w:start w:val="1"/>
      <w:numFmt w:val="decimal"/>
      <w:lvlText w:val="%1."/>
      <w:lvlJc w:val="left"/>
      <w:pPr>
        <w:ind w:left="720" w:hanging="360"/>
      </w:pPr>
      <w:rPr>
        <w:rFonts w:ascii="Arial" w:hAnsi="Arial" w:cs="Arial"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B9344B7"/>
    <w:multiLevelType w:val="hybridMultilevel"/>
    <w:tmpl w:val="BDF874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CC47944"/>
    <w:multiLevelType w:val="hybridMultilevel"/>
    <w:tmpl w:val="E00A5A08"/>
    <w:lvl w:ilvl="0" w:tplc="08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0DB925D4"/>
    <w:multiLevelType w:val="hybridMultilevel"/>
    <w:tmpl w:val="BD2CD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4221FFB"/>
    <w:multiLevelType w:val="hybridMultilevel"/>
    <w:tmpl w:val="1CDEF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99C2F63"/>
    <w:multiLevelType w:val="hybridMultilevel"/>
    <w:tmpl w:val="2EACF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BCF0A2D"/>
    <w:multiLevelType w:val="hybridMultilevel"/>
    <w:tmpl w:val="03286294"/>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1E5D0A9B"/>
    <w:multiLevelType w:val="hybridMultilevel"/>
    <w:tmpl w:val="F69EA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E6653FF"/>
    <w:multiLevelType w:val="hybridMultilevel"/>
    <w:tmpl w:val="D0609312"/>
    <w:lvl w:ilvl="0" w:tplc="0409000F">
      <w:start w:val="1"/>
      <w:numFmt w:val="decimal"/>
      <w:lvlText w:val="%1."/>
      <w:lvlJc w:val="left"/>
      <w:pPr>
        <w:tabs>
          <w:tab w:val="num" w:pos="720"/>
        </w:tabs>
        <w:ind w:left="720" w:hanging="360"/>
      </w:pPr>
    </w:lvl>
    <w:lvl w:ilvl="1" w:tplc="04090009">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1712FF9"/>
    <w:multiLevelType w:val="hybridMultilevel"/>
    <w:tmpl w:val="4542700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6BB165E"/>
    <w:multiLevelType w:val="hybridMultilevel"/>
    <w:tmpl w:val="6D42F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E152282"/>
    <w:multiLevelType w:val="hybridMultilevel"/>
    <w:tmpl w:val="2BA487E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nsid w:val="31665084"/>
    <w:multiLevelType w:val="hybridMultilevel"/>
    <w:tmpl w:val="8BAEF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19E45B9"/>
    <w:multiLevelType w:val="hybridMultilevel"/>
    <w:tmpl w:val="3A621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1F95781"/>
    <w:multiLevelType w:val="hybridMultilevel"/>
    <w:tmpl w:val="88BE68DE"/>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35507CEC"/>
    <w:multiLevelType w:val="hybridMultilevel"/>
    <w:tmpl w:val="8DAEF0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8F83CE5"/>
    <w:multiLevelType w:val="hybridMultilevel"/>
    <w:tmpl w:val="3F6ED260"/>
    <w:lvl w:ilvl="0" w:tplc="4A4009C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9D97826"/>
    <w:multiLevelType w:val="hybridMultilevel"/>
    <w:tmpl w:val="2F902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B796270"/>
    <w:multiLevelType w:val="hybridMultilevel"/>
    <w:tmpl w:val="72022A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7FF4A6C"/>
    <w:multiLevelType w:val="hybridMultilevel"/>
    <w:tmpl w:val="A8C63E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0DD65F4"/>
    <w:multiLevelType w:val="hybridMultilevel"/>
    <w:tmpl w:val="0E30A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D83383D"/>
    <w:multiLevelType w:val="hybridMultilevel"/>
    <w:tmpl w:val="6AF23A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DCC30BB"/>
    <w:multiLevelType w:val="hybridMultilevel"/>
    <w:tmpl w:val="6100B5EC"/>
    <w:lvl w:ilvl="0" w:tplc="0809001B">
      <w:start w:val="1"/>
      <w:numFmt w:val="low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6">
    <w:nsid w:val="60D068EE"/>
    <w:multiLevelType w:val="hybridMultilevel"/>
    <w:tmpl w:val="5EB60B24"/>
    <w:lvl w:ilvl="0" w:tplc="D93A3010">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2436436"/>
    <w:multiLevelType w:val="hybridMultilevel"/>
    <w:tmpl w:val="08D0678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7060F86"/>
    <w:multiLevelType w:val="hybridMultilevel"/>
    <w:tmpl w:val="9CCA6A3E"/>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69B45D47"/>
    <w:multiLevelType w:val="hybridMultilevel"/>
    <w:tmpl w:val="5484AAF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BE17376"/>
    <w:multiLevelType w:val="hybridMultilevel"/>
    <w:tmpl w:val="C31A44E4"/>
    <w:lvl w:ilvl="0" w:tplc="08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1">
    <w:nsid w:val="6FD6236D"/>
    <w:multiLevelType w:val="hybridMultilevel"/>
    <w:tmpl w:val="76C61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5CF46F9"/>
    <w:multiLevelType w:val="hybridMultilevel"/>
    <w:tmpl w:val="0C8CD2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nsid w:val="775D02A7"/>
    <w:multiLevelType w:val="hybridMultilevel"/>
    <w:tmpl w:val="F2263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9D10BE0"/>
    <w:multiLevelType w:val="hybridMultilevel"/>
    <w:tmpl w:val="8D3E0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A914FFE"/>
    <w:multiLevelType w:val="hybridMultilevel"/>
    <w:tmpl w:val="D4F2CF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28"/>
  </w:num>
  <w:num w:numId="3">
    <w:abstractNumId w:val="9"/>
  </w:num>
  <w:num w:numId="4">
    <w:abstractNumId w:val="30"/>
  </w:num>
  <w:num w:numId="5">
    <w:abstractNumId w:val="22"/>
  </w:num>
  <w:num w:numId="6">
    <w:abstractNumId w:val="35"/>
  </w:num>
  <w:num w:numId="7">
    <w:abstractNumId w:val="26"/>
  </w:num>
  <w:num w:numId="8">
    <w:abstractNumId w:val="2"/>
  </w:num>
  <w:num w:numId="9">
    <w:abstractNumId w:val="33"/>
  </w:num>
  <w:num w:numId="10">
    <w:abstractNumId w:val="27"/>
  </w:num>
  <w:num w:numId="11">
    <w:abstractNumId w:val="16"/>
  </w:num>
  <w:num w:numId="12">
    <w:abstractNumId w:val="31"/>
  </w:num>
  <w:num w:numId="13">
    <w:abstractNumId w:val="20"/>
  </w:num>
  <w:num w:numId="14">
    <w:abstractNumId w:val="19"/>
  </w:num>
  <w:num w:numId="15">
    <w:abstractNumId w:val="13"/>
  </w:num>
  <w:num w:numId="16">
    <w:abstractNumId w:val="23"/>
  </w:num>
  <w:num w:numId="17">
    <w:abstractNumId w:val="17"/>
    <w:lvlOverride w:ilvl="0">
      <w:startOverride w:val="1"/>
    </w:lvlOverride>
    <w:lvlOverride w:ilvl="1"/>
    <w:lvlOverride w:ilvl="2"/>
    <w:lvlOverride w:ilvl="3"/>
    <w:lvlOverride w:ilvl="4"/>
    <w:lvlOverride w:ilvl="5"/>
    <w:lvlOverride w:ilvl="6"/>
    <w:lvlOverride w:ilvl="7"/>
    <w:lvlOverride w:ilvl="8"/>
  </w:num>
  <w:num w:numId="18">
    <w:abstractNumId w:val="17"/>
  </w:num>
  <w:num w:numId="19">
    <w:abstractNumId w:val="32"/>
  </w:num>
  <w:num w:numId="20">
    <w:abstractNumId w:val="18"/>
  </w:num>
  <w:num w:numId="21">
    <w:abstractNumId w:val="29"/>
  </w:num>
  <w:num w:numId="22">
    <w:abstractNumId w:val="10"/>
  </w:num>
  <w:num w:numId="23">
    <w:abstractNumId w:val="4"/>
  </w:num>
  <w:num w:numId="24">
    <w:abstractNumId w:val="25"/>
  </w:num>
  <w:num w:numId="25">
    <w:abstractNumId w:val="12"/>
  </w:num>
  <w:num w:numId="26">
    <w:abstractNumId w:val="21"/>
  </w:num>
  <w:num w:numId="27">
    <w:abstractNumId w:val="24"/>
  </w:num>
  <w:num w:numId="28">
    <w:abstractNumId w:val="6"/>
  </w:num>
  <w:num w:numId="29">
    <w:abstractNumId w:val="7"/>
  </w:num>
  <w:num w:numId="30">
    <w:abstractNumId w:val="15"/>
  </w:num>
  <w:num w:numId="31">
    <w:abstractNumId w:val="8"/>
  </w:num>
  <w:num w:numId="32">
    <w:abstractNumId w:val="34"/>
  </w:num>
  <w:num w:numId="33">
    <w:abstractNumId w:val="1"/>
  </w:num>
  <w:num w:numId="34">
    <w:abstractNumId w:val="0"/>
  </w:num>
  <w:num w:numId="35">
    <w:abstractNumId w:val="14"/>
  </w:num>
  <w:num w:numId="36">
    <w:abstractNumId w:val="3"/>
  </w:num>
  <w:num w:numId="37">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o:colormru v:ext="edit" colors="#fffefe,#b1e1c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425"/>
    <w:rsid w:val="000174CC"/>
    <w:rsid w:val="0004065F"/>
    <w:rsid w:val="00043DC2"/>
    <w:rsid w:val="000853BB"/>
    <w:rsid w:val="000A28D9"/>
    <w:rsid w:val="000B5F11"/>
    <w:rsid w:val="000C557C"/>
    <w:rsid w:val="000D4EC5"/>
    <w:rsid w:val="000E20A6"/>
    <w:rsid w:val="00123CCD"/>
    <w:rsid w:val="00124B50"/>
    <w:rsid w:val="00154A4B"/>
    <w:rsid w:val="00185FA1"/>
    <w:rsid w:val="001B09AD"/>
    <w:rsid w:val="001E5BD7"/>
    <w:rsid w:val="00220682"/>
    <w:rsid w:val="00233961"/>
    <w:rsid w:val="00261B00"/>
    <w:rsid w:val="002723A7"/>
    <w:rsid w:val="002A5C25"/>
    <w:rsid w:val="002B2C42"/>
    <w:rsid w:val="002B5E71"/>
    <w:rsid w:val="002C05FB"/>
    <w:rsid w:val="002D4979"/>
    <w:rsid w:val="002F3DE0"/>
    <w:rsid w:val="0031208D"/>
    <w:rsid w:val="00332B4C"/>
    <w:rsid w:val="00333C80"/>
    <w:rsid w:val="00341373"/>
    <w:rsid w:val="00346481"/>
    <w:rsid w:val="00370684"/>
    <w:rsid w:val="003722CB"/>
    <w:rsid w:val="003A2B61"/>
    <w:rsid w:val="003C08F9"/>
    <w:rsid w:val="00405FCA"/>
    <w:rsid w:val="00416B50"/>
    <w:rsid w:val="004546E8"/>
    <w:rsid w:val="0047428F"/>
    <w:rsid w:val="004A6E3B"/>
    <w:rsid w:val="004D0579"/>
    <w:rsid w:val="004D36B6"/>
    <w:rsid w:val="004E24FA"/>
    <w:rsid w:val="004F1D14"/>
    <w:rsid w:val="005109D0"/>
    <w:rsid w:val="005819A3"/>
    <w:rsid w:val="00586414"/>
    <w:rsid w:val="005A6CFC"/>
    <w:rsid w:val="005D56A7"/>
    <w:rsid w:val="006073B6"/>
    <w:rsid w:val="00625A73"/>
    <w:rsid w:val="006A3AAD"/>
    <w:rsid w:val="006D0970"/>
    <w:rsid w:val="006D4AFB"/>
    <w:rsid w:val="006F0FBD"/>
    <w:rsid w:val="007274E5"/>
    <w:rsid w:val="00734265"/>
    <w:rsid w:val="0074116D"/>
    <w:rsid w:val="00747C9C"/>
    <w:rsid w:val="0076593E"/>
    <w:rsid w:val="00773209"/>
    <w:rsid w:val="0078705C"/>
    <w:rsid w:val="007C08F4"/>
    <w:rsid w:val="007E65BB"/>
    <w:rsid w:val="00851573"/>
    <w:rsid w:val="008525D7"/>
    <w:rsid w:val="00860914"/>
    <w:rsid w:val="00885DA2"/>
    <w:rsid w:val="00885ED7"/>
    <w:rsid w:val="008A2AF0"/>
    <w:rsid w:val="008C73DB"/>
    <w:rsid w:val="008D413A"/>
    <w:rsid w:val="0092606C"/>
    <w:rsid w:val="009304C5"/>
    <w:rsid w:val="0094166F"/>
    <w:rsid w:val="0094259E"/>
    <w:rsid w:val="00946176"/>
    <w:rsid w:val="0094787A"/>
    <w:rsid w:val="009752F1"/>
    <w:rsid w:val="00992D38"/>
    <w:rsid w:val="00997996"/>
    <w:rsid w:val="009D0937"/>
    <w:rsid w:val="009F2484"/>
    <w:rsid w:val="009F5425"/>
    <w:rsid w:val="009F760A"/>
    <w:rsid w:val="00A12662"/>
    <w:rsid w:val="00A528BA"/>
    <w:rsid w:val="00A660A8"/>
    <w:rsid w:val="00A92147"/>
    <w:rsid w:val="00A92BCB"/>
    <w:rsid w:val="00AB0128"/>
    <w:rsid w:val="00AB1302"/>
    <w:rsid w:val="00AD2269"/>
    <w:rsid w:val="00AE2CC5"/>
    <w:rsid w:val="00B10B7D"/>
    <w:rsid w:val="00B47906"/>
    <w:rsid w:val="00B97AF2"/>
    <w:rsid w:val="00BA543F"/>
    <w:rsid w:val="00BB13C4"/>
    <w:rsid w:val="00BD5205"/>
    <w:rsid w:val="00BE3EA5"/>
    <w:rsid w:val="00C42D94"/>
    <w:rsid w:val="00C46708"/>
    <w:rsid w:val="00C90B7D"/>
    <w:rsid w:val="00CA36B0"/>
    <w:rsid w:val="00CB1573"/>
    <w:rsid w:val="00CC0C0C"/>
    <w:rsid w:val="00CD0017"/>
    <w:rsid w:val="00CD5CA1"/>
    <w:rsid w:val="00D615CD"/>
    <w:rsid w:val="00D66747"/>
    <w:rsid w:val="00D80178"/>
    <w:rsid w:val="00D81EE1"/>
    <w:rsid w:val="00D848D9"/>
    <w:rsid w:val="00DF36A6"/>
    <w:rsid w:val="00E02708"/>
    <w:rsid w:val="00E0331D"/>
    <w:rsid w:val="00E43D6D"/>
    <w:rsid w:val="00E64B8D"/>
    <w:rsid w:val="00E713AE"/>
    <w:rsid w:val="00ED3DA7"/>
    <w:rsid w:val="00F21CAE"/>
    <w:rsid w:val="00F32EA6"/>
    <w:rsid w:val="00F33494"/>
    <w:rsid w:val="00F40570"/>
    <w:rsid w:val="00F505F0"/>
    <w:rsid w:val="00F569D1"/>
    <w:rsid w:val="00F64BC4"/>
    <w:rsid w:val="00F714AE"/>
    <w:rsid w:val="00F84473"/>
    <w:rsid w:val="00FB161D"/>
    <w:rsid w:val="00FB3C02"/>
    <w:rsid w:val="00FE617F"/>
    <w:rsid w:val="00FF0123"/>
    <w:rsid w:val="00FF10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fffefe,#b1e1c0"/>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5425"/>
    <w:pPr>
      <w:spacing w:after="200" w:line="276" w:lineRule="auto"/>
    </w:pPr>
    <w:rPr>
      <w:rFonts w:asciiTheme="minorHAnsi" w:eastAsiaTheme="minorHAnsi" w:hAnsiTheme="minorHAnsi" w:cstheme="minorBidi"/>
      <w:sz w:val="22"/>
      <w:szCs w:val="22"/>
      <w:lang w:eastAsia="en-US"/>
    </w:rPr>
  </w:style>
  <w:style w:type="paragraph" w:styleId="Heading4">
    <w:name w:val="heading 4"/>
    <w:basedOn w:val="Normal"/>
    <w:qFormat/>
    <w:rsid w:val="00AD2269"/>
    <w:pPr>
      <w:spacing w:before="100" w:beforeAutospacing="1" w:after="100" w:afterAutospacing="1"/>
      <w:outlineLvl w:val="3"/>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54E86"/>
    <w:pPr>
      <w:tabs>
        <w:tab w:val="center" w:pos="4320"/>
        <w:tab w:val="right" w:pos="8640"/>
      </w:tabs>
    </w:pPr>
  </w:style>
  <w:style w:type="paragraph" w:styleId="Footer">
    <w:name w:val="footer"/>
    <w:basedOn w:val="Normal"/>
    <w:link w:val="FooterChar"/>
    <w:uiPriority w:val="99"/>
    <w:rsid w:val="00054E86"/>
    <w:pPr>
      <w:tabs>
        <w:tab w:val="center" w:pos="4320"/>
        <w:tab w:val="right" w:pos="8640"/>
      </w:tabs>
    </w:pPr>
  </w:style>
  <w:style w:type="character" w:styleId="Strong">
    <w:name w:val="Strong"/>
    <w:qFormat/>
    <w:rsid w:val="00AD2269"/>
    <w:rPr>
      <w:rFonts w:cs="Times New Roman"/>
      <w:b/>
      <w:bCs/>
    </w:rPr>
  </w:style>
  <w:style w:type="character" w:styleId="Hyperlink">
    <w:name w:val="Hyperlink"/>
    <w:uiPriority w:val="99"/>
    <w:rsid w:val="00A528BA"/>
    <w:rPr>
      <w:color w:val="0000FF"/>
      <w:u w:val="single"/>
    </w:rPr>
  </w:style>
  <w:style w:type="character" w:styleId="PageNumber">
    <w:name w:val="page number"/>
    <w:basedOn w:val="DefaultParagraphFont"/>
    <w:rsid w:val="00FE617F"/>
  </w:style>
  <w:style w:type="paragraph" w:styleId="ListParagraph">
    <w:name w:val="List Paragraph"/>
    <w:basedOn w:val="Normal"/>
    <w:uiPriority w:val="34"/>
    <w:qFormat/>
    <w:rsid w:val="00FF10CF"/>
    <w:pPr>
      <w:ind w:left="720"/>
    </w:pPr>
  </w:style>
  <w:style w:type="character" w:customStyle="1" w:styleId="FooterChar">
    <w:name w:val="Footer Char"/>
    <w:link w:val="Footer"/>
    <w:uiPriority w:val="99"/>
    <w:rsid w:val="004A6E3B"/>
    <w:rPr>
      <w:sz w:val="24"/>
      <w:szCs w:val="24"/>
    </w:rPr>
  </w:style>
  <w:style w:type="table" w:styleId="TableGrid">
    <w:name w:val="Table Grid"/>
    <w:basedOn w:val="TableNormal"/>
    <w:rsid w:val="00F21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D56A7"/>
    <w:rPr>
      <w:rFonts w:ascii="Tahoma" w:hAnsi="Tahoma" w:cs="Tahoma"/>
      <w:sz w:val="16"/>
      <w:szCs w:val="16"/>
    </w:rPr>
  </w:style>
  <w:style w:type="character" w:customStyle="1" w:styleId="BalloonTextChar">
    <w:name w:val="Balloon Text Char"/>
    <w:basedOn w:val="DefaultParagraphFont"/>
    <w:link w:val="BalloonText"/>
    <w:rsid w:val="005D56A7"/>
    <w:rPr>
      <w:rFonts w:ascii="Tahoma" w:hAnsi="Tahoma" w:cs="Tahoma"/>
      <w:sz w:val="16"/>
      <w:szCs w:val="16"/>
    </w:rPr>
  </w:style>
  <w:style w:type="paragraph" w:styleId="PlainText">
    <w:name w:val="Plain Text"/>
    <w:basedOn w:val="Normal"/>
    <w:link w:val="PlainTextChar"/>
    <w:uiPriority w:val="99"/>
    <w:unhideWhenUsed/>
    <w:rsid w:val="0094787A"/>
    <w:rPr>
      <w:rFonts w:ascii="Calibri" w:eastAsia="Calibri" w:hAnsi="Calibri"/>
      <w:szCs w:val="21"/>
    </w:rPr>
  </w:style>
  <w:style w:type="character" w:customStyle="1" w:styleId="PlainTextChar">
    <w:name w:val="Plain Text Char"/>
    <w:basedOn w:val="DefaultParagraphFont"/>
    <w:link w:val="PlainText"/>
    <w:uiPriority w:val="99"/>
    <w:rsid w:val="0094787A"/>
    <w:rPr>
      <w:rFonts w:ascii="Calibri" w:eastAsia="Calibri" w:hAnsi="Calibri"/>
      <w:sz w:val="22"/>
      <w:szCs w:val="21"/>
      <w:lang w:eastAsia="en-US"/>
    </w:rPr>
  </w:style>
  <w:style w:type="paragraph" w:styleId="HTMLPreformatted">
    <w:name w:val="HTML Preformatted"/>
    <w:basedOn w:val="Normal"/>
    <w:link w:val="HTMLPreformattedChar"/>
    <w:uiPriority w:val="99"/>
    <w:unhideWhenUsed/>
    <w:rsid w:val="00CC0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CC0C0C"/>
    <w:rPr>
      <w:rFonts w:ascii="Courier New" w:eastAsiaTheme="minorHAnsi"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5425"/>
    <w:pPr>
      <w:spacing w:after="200" w:line="276" w:lineRule="auto"/>
    </w:pPr>
    <w:rPr>
      <w:rFonts w:asciiTheme="minorHAnsi" w:eastAsiaTheme="minorHAnsi" w:hAnsiTheme="minorHAnsi" w:cstheme="minorBidi"/>
      <w:sz w:val="22"/>
      <w:szCs w:val="22"/>
      <w:lang w:eastAsia="en-US"/>
    </w:rPr>
  </w:style>
  <w:style w:type="paragraph" w:styleId="Heading4">
    <w:name w:val="heading 4"/>
    <w:basedOn w:val="Normal"/>
    <w:qFormat/>
    <w:rsid w:val="00AD2269"/>
    <w:pPr>
      <w:spacing w:before="100" w:beforeAutospacing="1" w:after="100" w:afterAutospacing="1"/>
      <w:outlineLvl w:val="3"/>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54E86"/>
    <w:pPr>
      <w:tabs>
        <w:tab w:val="center" w:pos="4320"/>
        <w:tab w:val="right" w:pos="8640"/>
      </w:tabs>
    </w:pPr>
  </w:style>
  <w:style w:type="paragraph" w:styleId="Footer">
    <w:name w:val="footer"/>
    <w:basedOn w:val="Normal"/>
    <w:link w:val="FooterChar"/>
    <w:uiPriority w:val="99"/>
    <w:rsid w:val="00054E86"/>
    <w:pPr>
      <w:tabs>
        <w:tab w:val="center" w:pos="4320"/>
        <w:tab w:val="right" w:pos="8640"/>
      </w:tabs>
    </w:pPr>
  </w:style>
  <w:style w:type="character" w:styleId="Strong">
    <w:name w:val="Strong"/>
    <w:qFormat/>
    <w:rsid w:val="00AD2269"/>
    <w:rPr>
      <w:rFonts w:cs="Times New Roman"/>
      <w:b/>
      <w:bCs/>
    </w:rPr>
  </w:style>
  <w:style w:type="character" w:styleId="Hyperlink">
    <w:name w:val="Hyperlink"/>
    <w:uiPriority w:val="99"/>
    <w:rsid w:val="00A528BA"/>
    <w:rPr>
      <w:color w:val="0000FF"/>
      <w:u w:val="single"/>
    </w:rPr>
  </w:style>
  <w:style w:type="character" w:styleId="PageNumber">
    <w:name w:val="page number"/>
    <w:basedOn w:val="DefaultParagraphFont"/>
    <w:rsid w:val="00FE617F"/>
  </w:style>
  <w:style w:type="paragraph" w:styleId="ListParagraph">
    <w:name w:val="List Paragraph"/>
    <w:basedOn w:val="Normal"/>
    <w:uiPriority w:val="34"/>
    <w:qFormat/>
    <w:rsid w:val="00FF10CF"/>
    <w:pPr>
      <w:ind w:left="720"/>
    </w:pPr>
  </w:style>
  <w:style w:type="character" w:customStyle="1" w:styleId="FooterChar">
    <w:name w:val="Footer Char"/>
    <w:link w:val="Footer"/>
    <w:uiPriority w:val="99"/>
    <w:rsid w:val="004A6E3B"/>
    <w:rPr>
      <w:sz w:val="24"/>
      <w:szCs w:val="24"/>
    </w:rPr>
  </w:style>
  <w:style w:type="table" w:styleId="TableGrid">
    <w:name w:val="Table Grid"/>
    <w:basedOn w:val="TableNormal"/>
    <w:rsid w:val="00F21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D56A7"/>
    <w:rPr>
      <w:rFonts w:ascii="Tahoma" w:hAnsi="Tahoma" w:cs="Tahoma"/>
      <w:sz w:val="16"/>
      <w:szCs w:val="16"/>
    </w:rPr>
  </w:style>
  <w:style w:type="character" w:customStyle="1" w:styleId="BalloonTextChar">
    <w:name w:val="Balloon Text Char"/>
    <w:basedOn w:val="DefaultParagraphFont"/>
    <w:link w:val="BalloonText"/>
    <w:rsid w:val="005D56A7"/>
    <w:rPr>
      <w:rFonts w:ascii="Tahoma" w:hAnsi="Tahoma" w:cs="Tahoma"/>
      <w:sz w:val="16"/>
      <w:szCs w:val="16"/>
    </w:rPr>
  </w:style>
  <w:style w:type="paragraph" w:styleId="PlainText">
    <w:name w:val="Plain Text"/>
    <w:basedOn w:val="Normal"/>
    <w:link w:val="PlainTextChar"/>
    <w:uiPriority w:val="99"/>
    <w:unhideWhenUsed/>
    <w:rsid w:val="0094787A"/>
    <w:rPr>
      <w:rFonts w:ascii="Calibri" w:eastAsia="Calibri" w:hAnsi="Calibri"/>
      <w:szCs w:val="21"/>
    </w:rPr>
  </w:style>
  <w:style w:type="character" w:customStyle="1" w:styleId="PlainTextChar">
    <w:name w:val="Plain Text Char"/>
    <w:basedOn w:val="DefaultParagraphFont"/>
    <w:link w:val="PlainText"/>
    <w:uiPriority w:val="99"/>
    <w:rsid w:val="0094787A"/>
    <w:rPr>
      <w:rFonts w:ascii="Calibri" w:eastAsia="Calibri" w:hAnsi="Calibri"/>
      <w:sz w:val="22"/>
      <w:szCs w:val="21"/>
      <w:lang w:eastAsia="en-US"/>
    </w:rPr>
  </w:style>
  <w:style w:type="paragraph" w:styleId="HTMLPreformatted">
    <w:name w:val="HTML Preformatted"/>
    <w:basedOn w:val="Normal"/>
    <w:link w:val="HTMLPreformattedChar"/>
    <w:uiPriority w:val="99"/>
    <w:unhideWhenUsed/>
    <w:rsid w:val="00CC0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CC0C0C"/>
    <w:rPr>
      <w:rFonts w:ascii="Courier New" w:eastAsiaTheme="minorHAnsi"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652677">
      <w:bodyDiv w:val="1"/>
      <w:marLeft w:val="0"/>
      <w:marRight w:val="0"/>
      <w:marTop w:val="0"/>
      <w:marBottom w:val="0"/>
      <w:divBdr>
        <w:top w:val="none" w:sz="0" w:space="0" w:color="auto"/>
        <w:left w:val="none" w:sz="0" w:space="0" w:color="auto"/>
        <w:bottom w:val="none" w:sz="0" w:space="0" w:color="auto"/>
        <w:right w:val="none" w:sz="0" w:space="0" w:color="auto"/>
      </w:divBdr>
    </w:div>
    <w:div w:id="1030229764">
      <w:bodyDiv w:val="1"/>
      <w:marLeft w:val="0"/>
      <w:marRight w:val="0"/>
      <w:marTop w:val="0"/>
      <w:marBottom w:val="0"/>
      <w:divBdr>
        <w:top w:val="none" w:sz="0" w:space="0" w:color="auto"/>
        <w:left w:val="none" w:sz="0" w:space="0" w:color="auto"/>
        <w:bottom w:val="none" w:sz="0" w:space="0" w:color="auto"/>
        <w:right w:val="none" w:sz="0" w:space="0" w:color="auto"/>
      </w:divBdr>
    </w:div>
    <w:div w:id="143651276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rsb.org.uk/images/pdf/UK_Plant_Science-Current_status_and_future_challenges.pdf"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rsb.org.uk/images/pdf/UK_Plant_Science-Current_status_and_future_challenges.pdf" TargetMode="External"/><Relationship Id="rId4" Type="http://schemas.openxmlformats.org/officeDocument/2006/relationships/settings" Target="settings.xml"/><Relationship Id="rId9" Type="http://schemas.openxmlformats.org/officeDocument/2006/relationships/hyperlink" Target="http://www.cieem.net/ecological-skills"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info@rsb.org.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cox\AppData\Local\Microsoft\Windows\Temporary%20Internet%20Files\Content.Outlook\3XE6VBQO\RSB%20template%20education%20prioriti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RSB template education priorities.dotx</Template>
  <TotalTime>0</TotalTime>
  <Pages>4</Pages>
  <Words>1740</Words>
  <Characters>9791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The Natural Capital Initiative</vt:lpstr>
    </vt:vector>
  </TitlesOfParts>
  <Company>Hewlett-Packard Company</Company>
  <LinksUpToDate>false</LinksUpToDate>
  <CharactersWithSpaces>11508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Natural Capital Initiative</dc:title>
  <dc:creator>Sarah Cox</dc:creator>
  <cp:lastModifiedBy>Sarah Cox</cp:lastModifiedBy>
  <cp:revision>2</cp:revision>
  <cp:lastPrinted>2012-09-06T14:30:00Z</cp:lastPrinted>
  <dcterms:created xsi:type="dcterms:W3CDTF">2015-08-20T14:29:00Z</dcterms:created>
  <dcterms:modified xsi:type="dcterms:W3CDTF">2015-08-20T14:29:00Z</dcterms:modified>
</cp:coreProperties>
</file>